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43C" w:rsidRDefault="0087443C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 w:hint="eastAsia"/>
          <w:kern w:val="21"/>
          <w:sz w:val="52"/>
          <w:szCs w:val="52"/>
        </w:rPr>
      </w:pPr>
    </w:p>
    <w:p w:rsidR="0087443C" w:rsidRDefault="00B77DA8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87443C" w:rsidRDefault="00B77DA8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379730</wp:posOffset>
                </wp:positionV>
                <wp:extent cx="5173345" cy="0"/>
                <wp:effectExtent l="0" t="4445" r="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.5pt;margin-top:29.9pt;height:0pt;width:407.35pt;z-index:251662336;mso-width-relative:page;mso-height-relative:page;" filled="f" stroked="t" coordsize="21600,21600" o:gfxdata="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veVu1QAAAAgB&#10;AAAPAAAAAAAAAAEAIAAAACIAAABkcnMvZG93bnJldi54bWxQSwECFAAUAAAACACHTuJA4/oDFuUB&#10;AACxAwAADgAAAAAAAAABACAAAAAk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 w:hAnsi="黑体" w:cs="宋体"/>
          <w:sz w:val="28"/>
          <w:szCs w:val="28"/>
        </w:rPr>
        <w:t xml:space="preserve"> 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A00FF0">
        <w:rPr>
          <w:rFonts w:ascii="黑体" w:eastAsia="黑体" w:hAnsi="黑体" w:cs="宋体" w:hint="eastAsia"/>
          <w:sz w:val="28"/>
          <w:szCs w:val="28"/>
        </w:rPr>
        <w:t>35</w:t>
      </w:r>
      <w:bookmarkStart w:id="0" w:name="_GoBack"/>
      <w:bookmarkEnd w:id="0"/>
      <w:r w:rsidR="00A00FF0">
        <w:rPr>
          <w:rFonts w:ascii="黑体" w:eastAsia="黑体" w:hAnsi="黑体" w:cs="宋体" w:hint="eastAsia"/>
          <w:sz w:val="28"/>
          <w:szCs w:val="28"/>
        </w:rPr>
        <w:t>8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F13D55">
        <w:rPr>
          <w:rFonts w:ascii="黑体" w:eastAsia="黑体" w:hAnsi="黑体" w:cs="宋体" w:hint="eastAsia"/>
          <w:sz w:val="28"/>
          <w:szCs w:val="28"/>
        </w:rPr>
        <w:t>26</w:t>
      </w:r>
    </w:p>
    <w:p w:rsidR="0087443C" w:rsidRDefault="0087443C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:rsidR="0087443C" w:rsidRDefault="0087443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87443C" w:rsidRDefault="0087443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87443C" w:rsidRDefault="0087443C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87443C" w:rsidRDefault="0087443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:rsidR="0087443C" w:rsidRDefault="00B77DA8" w:rsidP="00F13D55">
      <w:pPr>
        <w:pStyle w:val="10"/>
        <w:adjustRightInd w:val="0"/>
        <w:snapToGrid w:val="0"/>
        <w:spacing w:beforeLines="50" w:before="156" w:afterLines="50" w:after="156" w:line="360" w:lineRule="auto"/>
        <w:ind w:firstLineChars="0" w:firstLine="0"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北方地区</w:t>
      </w:r>
    </w:p>
    <w:p w:rsidR="0087443C" w:rsidRDefault="00B77DA8" w:rsidP="00F13D5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t>绿色食品</w:t>
      </w:r>
      <w:r>
        <w:rPr>
          <w:rFonts w:ascii="黑体" w:eastAsia="黑体" w:hAnsi="黑体" w:cs="宋体" w:hint="eastAsia"/>
          <w:sz w:val="48"/>
          <w:szCs w:val="48"/>
        </w:rPr>
        <w:t>露地黄瓜</w:t>
      </w:r>
      <w:r>
        <w:rPr>
          <w:rFonts w:ascii="黑体" w:eastAsia="黑体" w:hAnsi="黑体" w:hint="eastAsia"/>
          <w:sz w:val="48"/>
          <w:szCs w:val="48"/>
        </w:rPr>
        <w:t>生产操作规程</w:t>
      </w:r>
    </w:p>
    <w:p w:rsidR="0087443C" w:rsidRDefault="0087443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87443C" w:rsidRDefault="0087443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87443C" w:rsidRDefault="0087443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87443C" w:rsidRDefault="0087443C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F13D55" w:rsidRDefault="00F13D5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F13D55" w:rsidRDefault="00F13D55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:rsidR="0087443C" w:rsidRPr="00A00FF0" w:rsidRDefault="00A00FF0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87443C" w:rsidRDefault="00B77DA8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26035</wp:posOffset>
                </wp:positionV>
                <wp:extent cx="53721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3pt;margin-top:2.05pt;height:0pt;width:423pt;z-index:251661312;mso-width-relative:page;mso-height-relative:page;" filled="f" stroked="t" coordsize="21600,21600" o:gfxdata="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jumDtMAAAAGAQAADwAA&#10;AAAAAAABACAAAAAiAAAAZHJzL2Rvd25yZXYueG1sUEsBAhQAFAAAAAgAh07iQDrZruniAQAAsQMA&#10;AA4AAAAAAAAAAQAgAAAAIg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60288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OUs8u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8893810</wp:posOffset>
                </wp:positionV>
                <wp:extent cx="4853940" cy="15240"/>
                <wp:effectExtent l="0" t="0" r="22860" b="22860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106.2pt;margin-top:700.3pt;height:1.2pt;width:382.2pt;z-index:251659264;mso-width-relative:page;mso-height-relative:page;" filled="f" stroked="t" coordsize="21600,21600" o:gfxdata="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X+D+52QAAAA0BAAAPAAAAAAAAAAEAIAAAACIAAABkcnMvZG93bnJldi54&#10;bWxQSwECFAAUAAAACACHTuJAM3wCtvkBAADC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r>
        <w:rPr>
          <w:b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:rsidR="0087443C" w:rsidRDefault="0087443C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87443C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:rsidR="0087443C" w:rsidRDefault="0087443C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87443C" w:rsidRDefault="00B77DA8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:rsidR="0087443C" w:rsidRDefault="0087443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:rsidR="0087443C" w:rsidRDefault="00B77DA8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87443C" w:rsidRDefault="00B77DA8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本文件起草单位：黑龙江省绿色食品发展中心、</w:t>
      </w:r>
      <w:r>
        <w:rPr>
          <w:rFonts w:ascii="宋体" w:hAnsi="宋体" w:cs="宋体"/>
        </w:rPr>
        <w:t>中国绿色食品发展中心</w:t>
      </w:r>
      <w:r>
        <w:rPr>
          <w:rFonts w:ascii="宋体" w:hAnsi="宋体" w:cs="宋体" w:hint="eastAsia"/>
        </w:rPr>
        <w:t>、黑龙江大学、内蒙古自治区农畜产品质量安全中心、辽宁省绿色食品发展中心、吉林省绿色食品办公室、山东省农业生态与资源保护总站。</w:t>
      </w:r>
    </w:p>
    <w:p w:rsidR="0087443C" w:rsidRDefault="00B77DA8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本文件主要起草人：刘培源、刘大军、</w:t>
      </w:r>
      <w:r w:rsidR="00AF4A06">
        <w:rPr>
          <w:rFonts w:ascii="宋体" w:hAnsi="宋体" w:cs="宋体" w:hint="eastAsia"/>
        </w:rPr>
        <w:t>张志华</w:t>
      </w:r>
      <w:r w:rsidR="00AF4A06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李妍、董宇辰、陈雷、任红立、胡广欣、孙德生、冯国军、杨晓旭、刘畅、赵湘凝、郭海艳、张泰峰、</w:t>
      </w:r>
      <w:r w:rsidR="00AF4A06">
        <w:rPr>
          <w:rFonts w:ascii="宋体" w:hAnsi="宋体" w:cs="宋体" w:hint="eastAsia"/>
        </w:rPr>
        <w:t>马雪</w:t>
      </w:r>
      <w:r w:rsidR="00AF4A06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闫志山、姚宪涛、冯天、于元蕾、董书权、相洋、朱晨、王书强。</w:t>
      </w:r>
    </w:p>
    <w:p w:rsidR="0087443C" w:rsidRDefault="0087443C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87443C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:rsidR="0087443C" w:rsidRDefault="00B77DA8" w:rsidP="008D36A7">
      <w:pPr>
        <w:adjustRightInd w:val="0"/>
        <w:snapToGrid w:val="0"/>
        <w:spacing w:beforeLines="50" w:before="156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北方地区</w:t>
      </w:r>
      <w:r w:rsidR="008D36A7">
        <w:rPr>
          <w:rFonts w:ascii="Times New Roman" w:eastAsia="黑体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黑体" w:hAnsi="Times New Roman" w:cs="Times New Roman" w:hint="eastAsia"/>
          <w:sz w:val="32"/>
          <w:szCs w:val="32"/>
        </w:rPr>
        <w:t>绿色食品露地黄瓜生产</w:t>
      </w:r>
      <w:r>
        <w:rPr>
          <w:rFonts w:ascii="Times New Roman" w:eastAsia="黑体" w:hAnsi="Times New Roman" w:cs="Times New Roman"/>
          <w:sz w:val="32"/>
          <w:szCs w:val="32"/>
        </w:rPr>
        <w:t>操作规程</w:t>
      </w:r>
    </w:p>
    <w:p w:rsidR="0087443C" w:rsidRDefault="00B77DA8" w:rsidP="008D36A7">
      <w:pPr>
        <w:pStyle w:val="1"/>
        <w:adjustRightInd w:val="0"/>
        <w:snapToGrid w:val="0"/>
      </w:pPr>
      <w:r>
        <w:t>1 范围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本文件规定了</w:t>
      </w:r>
      <w:r>
        <w:rPr>
          <w:rFonts w:ascii="宋体" w:hAnsi="宋体" w:hint="eastAsia"/>
          <w:lang w:eastAsia="zh-CN"/>
        </w:rPr>
        <w:t>北方地区</w:t>
      </w:r>
      <w:r>
        <w:rPr>
          <w:rFonts w:ascii="宋体" w:hAnsi="宋体" w:hint="eastAsia"/>
        </w:rPr>
        <w:t>绿色食品</w:t>
      </w:r>
      <w:r>
        <w:rPr>
          <w:rFonts w:ascii="宋体" w:hAnsi="宋体" w:hint="eastAsia"/>
          <w:lang w:eastAsia="zh-CN"/>
        </w:rPr>
        <w:t>露地黄瓜</w:t>
      </w:r>
      <w:r>
        <w:rPr>
          <w:rFonts w:ascii="宋体" w:hAnsi="宋体" w:hint="eastAsia"/>
        </w:rPr>
        <w:t>的产地环境、品种选择、整地施肥、播种、育苗、田间管理、病虫害防治、采收、生产废弃物</w:t>
      </w:r>
      <w:r>
        <w:rPr>
          <w:rFonts w:ascii="宋体" w:hAnsi="宋体" w:hint="eastAsia"/>
          <w:lang w:eastAsia="zh-CN"/>
        </w:rPr>
        <w:t>的</w:t>
      </w:r>
      <w:r>
        <w:rPr>
          <w:rFonts w:ascii="宋体" w:hAnsi="宋体" w:hint="eastAsia"/>
        </w:rPr>
        <w:t>处理、</w:t>
      </w:r>
      <w:r>
        <w:rPr>
          <w:rFonts w:ascii="宋体" w:hAnsi="宋体" w:hint="eastAsia"/>
          <w:lang w:eastAsia="zh-CN"/>
        </w:rPr>
        <w:t>储藏与</w:t>
      </w:r>
      <w:r>
        <w:rPr>
          <w:rFonts w:ascii="宋体" w:hAnsi="宋体"/>
          <w:lang w:eastAsia="zh-CN"/>
        </w:rPr>
        <w:t>运输</w:t>
      </w:r>
      <w:r>
        <w:rPr>
          <w:rFonts w:ascii="宋体" w:hAnsi="宋体" w:hint="eastAsia"/>
          <w:lang w:eastAsia="zh-CN"/>
        </w:rPr>
        <w:t>和</w:t>
      </w:r>
      <w:r>
        <w:rPr>
          <w:rFonts w:ascii="宋体" w:hAnsi="宋体" w:hint="eastAsia"/>
        </w:rPr>
        <w:t>生产档案管理。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hint="eastAsia"/>
          <w:lang w:val="en-US" w:eastAsia="zh-CN" w:bidi="ar"/>
        </w:rPr>
        <w:t>本</w:t>
      </w:r>
      <w:r w:rsidR="00AF4A06">
        <w:rPr>
          <w:rFonts w:hint="eastAsia"/>
          <w:lang w:val="en-US" w:eastAsia="zh-CN" w:bidi="ar"/>
        </w:rPr>
        <w:t>文件</w:t>
      </w:r>
      <w:r>
        <w:rPr>
          <w:rFonts w:hint="eastAsia"/>
          <w:lang w:val="en-US" w:eastAsia="zh-CN" w:bidi="ar"/>
        </w:rPr>
        <w:t>适用于</w:t>
      </w:r>
      <w:r>
        <w:rPr>
          <w:rFonts w:ascii="宋体" w:hAnsi="宋体" w:hint="eastAsia"/>
          <w:lang w:eastAsia="zh-CN"/>
        </w:rPr>
        <w:t>北方地区</w:t>
      </w:r>
      <w:r>
        <w:rPr>
          <w:rFonts w:ascii="宋体" w:hAnsi="宋体" w:hint="eastAsia"/>
        </w:rPr>
        <w:t>的绿色食品</w:t>
      </w:r>
      <w:r>
        <w:rPr>
          <w:rFonts w:ascii="宋体" w:hAnsi="宋体" w:hint="eastAsia"/>
          <w:lang w:eastAsia="zh-CN"/>
        </w:rPr>
        <w:t>露地黄瓜</w:t>
      </w:r>
      <w:r>
        <w:rPr>
          <w:rFonts w:ascii="宋体" w:hAnsi="宋体" w:hint="eastAsia"/>
        </w:rPr>
        <w:t>的生产。</w:t>
      </w:r>
    </w:p>
    <w:p w:rsidR="0087443C" w:rsidRDefault="00B77DA8" w:rsidP="008D36A7">
      <w:pPr>
        <w:pStyle w:val="1"/>
        <w:adjustRightInd w:val="0"/>
        <w:snapToGrid w:val="0"/>
      </w:pPr>
      <w:bookmarkStart w:id="1" w:name="OLE_LINK2"/>
      <w:bookmarkStart w:id="2" w:name="OLE_LINK1"/>
      <w:r>
        <w:t>2 规范性引用文件</w:t>
      </w:r>
      <w:bookmarkEnd w:id="1"/>
      <w:bookmarkEnd w:id="2"/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lang w:val="en-US" w:eastAsia="zh-CN"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 w:bidi="ar"/>
        </w:rPr>
        <w:t>。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GB 16715.1  </w:t>
      </w:r>
      <w:r>
        <w:rPr>
          <w:rFonts w:hint="eastAsia"/>
          <w:lang w:val="en-US" w:eastAsia="zh-CN" w:bidi="ar"/>
        </w:rPr>
        <w:t>瓜菜作物种子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第</w:t>
      </w:r>
      <w:r>
        <w:rPr>
          <w:rFonts w:hint="eastAsia"/>
          <w:lang w:val="en-US" w:eastAsia="zh-CN" w:bidi="ar"/>
        </w:rPr>
        <w:t>1</w:t>
      </w:r>
      <w:r>
        <w:rPr>
          <w:rFonts w:hint="eastAsia"/>
          <w:lang w:val="en-US" w:eastAsia="zh-CN" w:bidi="ar"/>
        </w:rPr>
        <w:t>部分：瓜类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391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产地环境质量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393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农药使用准则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394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肥料使用准则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1056  </w:t>
      </w:r>
      <w:r>
        <w:rPr>
          <w:rFonts w:hint="eastAsia"/>
          <w:lang w:val="en-US" w:eastAsia="zh-CN" w:bidi="ar"/>
        </w:rPr>
        <w:t>绿色食品</w:t>
      </w:r>
      <w:r>
        <w:rPr>
          <w:rFonts w:hint="eastAsia"/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储藏运输准则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2118  </w:t>
      </w:r>
      <w:r>
        <w:rPr>
          <w:rFonts w:hint="eastAsia"/>
          <w:lang w:val="en-US" w:eastAsia="zh-CN" w:bidi="ar"/>
        </w:rPr>
        <w:t>蔬菜育苗基质</w:t>
      </w:r>
    </w:p>
    <w:p w:rsidR="0087443C" w:rsidRDefault="00B77DA8" w:rsidP="008D36A7">
      <w:pPr>
        <w:pStyle w:val="a5"/>
        <w:ind w:firstLine="4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NY/T 3697  </w:t>
      </w:r>
      <w:r>
        <w:rPr>
          <w:rFonts w:hint="eastAsia"/>
          <w:lang w:val="en-US" w:eastAsia="zh-CN" w:bidi="ar"/>
        </w:rPr>
        <w:t>农用诱虫灯应用技术规范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3 产地环境</w:t>
      </w:r>
    </w:p>
    <w:p w:rsidR="0087443C" w:rsidRDefault="00B77DA8" w:rsidP="008D36A7">
      <w:pPr>
        <w:pStyle w:val="a5"/>
        <w:ind w:firstLine="420"/>
        <w:rPr>
          <w:rFonts w:ascii="宋体" w:hAnsi="宋体"/>
          <w:lang w:eastAsia="zh-CN"/>
        </w:rPr>
      </w:pPr>
      <w:r>
        <w:t>应符合</w:t>
      </w:r>
      <w:r>
        <w:t>NY/T 391</w:t>
      </w:r>
      <w:r>
        <w:rPr>
          <w:rFonts w:hint="eastAsia"/>
        </w:rPr>
        <w:t>的</w:t>
      </w:r>
      <w:r>
        <w:rPr>
          <w:rFonts w:hAnsi="宋体" w:hint="eastAsia"/>
        </w:rPr>
        <w:t>规定。绿色食品</w:t>
      </w:r>
      <w:r>
        <w:rPr>
          <w:rFonts w:hint="eastAsia"/>
          <w:lang w:val="en-US" w:eastAsia="zh-CN"/>
        </w:rPr>
        <w:t>露地黄瓜</w:t>
      </w:r>
      <w:r>
        <w:rPr>
          <w:rFonts w:hint="eastAsia"/>
        </w:rPr>
        <w:t>生产应选择生态环境良好、无污染的地区，远离工矿区、</w:t>
      </w:r>
      <w:r>
        <w:rPr>
          <w:rFonts w:hint="eastAsia"/>
          <w:lang w:val="en-US" w:eastAsia="zh-CN" w:bidi="ar"/>
        </w:rPr>
        <w:t>公路铁路干线和生活区</w:t>
      </w:r>
      <w:r>
        <w:rPr>
          <w:rFonts w:hint="eastAsia"/>
        </w:rPr>
        <w:t>，避开污染源。宜选择地势较高，具有排灌条件，土层深厚（</w:t>
      </w:r>
      <w:r>
        <w:rPr>
          <w:rFonts w:hint="eastAsia"/>
        </w:rPr>
        <w:t>25 cm</w:t>
      </w:r>
      <w:r>
        <w:rPr>
          <w:rFonts w:hint="eastAsia"/>
        </w:rPr>
        <w:t>～</w:t>
      </w:r>
      <w:r>
        <w:rPr>
          <w:rFonts w:hint="eastAsia"/>
        </w:rPr>
        <w:t>30 cm</w:t>
      </w:r>
      <w:r>
        <w:rPr>
          <w:rFonts w:hint="eastAsia"/>
        </w:rPr>
        <w:t>）、疏松、肥沃的地块，</w:t>
      </w:r>
      <w:r>
        <w:rPr>
          <w:rFonts w:hint="eastAsia"/>
        </w:rPr>
        <w:t>pH</w:t>
      </w:r>
      <w:r>
        <w:rPr>
          <w:rFonts w:hint="eastAsia"/>
        </w:rPr>
        <w:t>值</w:t>
      </w:r>
      <w:r>
        <w:rPr>
          <w:rFonts w:hint="eastAsia"/>
        </w:rPr>
        <w:t>5.5</w:t>
      </w:r>
      <w:r>
        <w:rPr>
          <w:rFonts w:hint="eastAsia"/>
        </w:rPr>
        <w:t>～</w:t>
      </w:r>
      <w:r>
        <w:rPr>
          <w:rFonts w:hint="eastAsia"/>
        </w:rPr>
        <w:t>7.5</w:t>
      </w:r>
      <w:r>
        <w:rPr>
          <w:rFonts w:hint="eastAsia"/>
        </w:rPr>
        <w:t>。与瓜类作物不宜</w:t>
      </w:r>
      <w:proofErr w:type="gramStart"/>
      <w:r>
        <w:rPr>
          <w:rFonts w:hint="eastAsia"/>
        </w:rPr>
        <w:t>重迎茬</w:t>
      </w:r>
      <w:proofErr w:type="gramEnd"/>
      <w:r>
        <w:rPr>
          <w:rFonts w:hint="eastAsia"/>
        </w:rPr>
        <w:t>，前茬作物未使用长残效除草剂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4 品种选择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应选择产量高、抗病抗逆能力强、商品性好的品种。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加工型黄瓜</w:t>
      </w:r>
      <w:r>
        <w:rPr>
          <w:rFonts w:hint="eastAsia"/>
          <w:lang w:eastAsia="zh-CN"/>
        </w:rPr>
        <w:t>推荐</w:t>
      </w:r>
      <w:r>
        <w:rPr>
          <w:rFonts w:hint="eastAsia"/>
        </w:rPr>
        <w:t>品种：娜莎</w:t>
      </w:r>
      <w:r>
        <w:rPr>
          <w:rFonts w:hint="eastAsia"/>
          <w:lang w:eastAsia="zh-CN"/>
        </w:rPr>
        <w:t>、</w:t>
      </w:r>
      <w:r>
        <w:rPr>
          <w:rFonts w:hint="eastAsia"/>
        </w:rPr>
        <w:t>玛莎</w:t>
      </w:r>
      <w:r>
        <w:rPr>
          <w:rFonts w:hint="eastAsia"/>
          <w:lang w:eastAsia="zh-CN"/>
        </w:rPr>
        <w:t>、</w:t>
      </w:r>
      <w:r>
        <w:rPr>
          <w:rFonts w:hint="eastAsia"/>
        </w:rPr>
        <w:t>阿蒙</w:t>
      </w:r>
      <w:r>
        <w:rPr>
          <w:rFonts w:hint="eastAsia"/>
          <w:lang w:eastAsia="zh-CN"/>
        </w:rPr>
        <w:t>、</w:t>
      </w:r>
      <w:r>
        <w:rPr>
          <w:rFonts w:hint="eastAsia"/>
        </w:rPr>
        <w:t>芭比娜</w:t>
      </w:r>
      <w:r>
        <w:rPr>
          <w:rFonts w:hint="eastAsia"/>
          <w:lang w:eastAsia="zh-CN"/>
        </w:rPr>
        <w:t>和</w:t>
      </w:r>
      <w:r>
        <w:rPr>
          <w:rFonts w:hint="eastAsia"/>
        </w:rPr>
        <w:t>叶三儿</w:t>
      </w:r>
      <w:r>
        <w:rPr>
          <w:rFonts w:hint="eastAsia"/>
          <w:lang w:eastAsia="zh-CN"/>
        </w:rPr>
        <w:t>等</w:t>
      </w:r>
      <w:r>
        <w:rPr>
          <w:rFonts w:hint="eastAsia"/>
        </w:rPr>
        <w:t>。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华北型黄瓜</w:t>
      </w:r>
      <w:r>
        <w:rPr>
          <w:rFonts w:hint="eastAsia"/>
          <w:lang w:eastAsia="zh-CN"/>
        </w:rPr>
        <w:t>推荐</w:t>
      </w:r>
      <w:r>
        <w:rPr>
          <w:rFonts w:hint="eastAsia"/>
        </w:rPr>
        <w:t>品种：博美</w:t>
      </w:r>
      <w:r>
        <w:rPr>
          <w:rFonts w:hint="eastAsia"/>
        </w:rPr>
        <w:t>8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proofErr w:type="gramStart"/>
      <w:r>
        <w:rPr>
          <w:rFonts w:hint="eastAsia"/>
        </w:rPr>
        <w:t>津优</w:t>
      </w:r>
      <w:proofErr w:type="gramEnd"/>
      <w:r>
        <w:rPr>
          <w:rFonts w:hint="eastAsia"/>
        </w:rPr>
        <w:t>201</w:t>
      </w:r>
      <w:r>
        <w:rPr>
          <w:rFonts w:hint="eastAsia"/>
          <w:lang w:eastAsia="zh-CN"/>
        </w:rPr>
        <w:t>、</w:t>
      </w:r>
      <w:proofErr w:type="gramStart"/>
      <w:r>
        <w:rPr>
          <w:rFonts w:hint="eastAsia"/>
        </w:rPr>
        <w:t>津优</w:t>
      </w:r>
      <w:proofErr w:type="gramEnd"/>
      <w:r>
        <w:rPr>
          <w:rFonts w:hint="eastAsia"/>
        </w:rPr>
        <w:t>328</w:t>
      </w:r>
      <w:r>
        <w:rPr>
          <w:rFonts w:hint="eastAsia"/>
          <w:lang w:eastAsia="zh-CN"/>
        </w:rPr>
        <w:t>、</w:t>
      </w:r>
      <w:proofErr w:type="gramStart"/>
      <w:r>
        <w:rPr>
          <w:rFonts w:hint="eastAsia"/>
        </w:rPr>
        <w:t>津优</w:t>
      </w:r>
      <w:proofErr w:type="gramEnd"/>
      <w:r>
        <w:rPr>
          <w:rFonts w:hint="eastAsia"/>
        </w:rPr>
        <w:t>409</w:t>
      </w:r>
      <w:r>
        <w:rPr>
          <w:rFonts w:hint="eastAsia"/>
          <w:lang w:eastAsia="zh-CN"/>
        </w:rPr>
        <w:t>、</w:t>
      </w:r>
      <w:proofErr w:type="gramStart"/>
      <w:r>
        <w:rPr>
          <w:rFonts w:hint="eastAsia"/>
        </w:rPr>
        <w:t>津优</w:t>
      </w:r>
      <w:r>
        <w:rPr>
          <w:rFonts w:hint="eastAsia"/>
        </w:rPr>
        <w:t>401</w:t>
      </w:r>
      <w:r>
        <w:rPr>
          <w:rFonts w:hint="eastAsia"/>
        </w:rPr>
        <w:t>号</w:t>
      </w:r>
      <w:proofErr w:type="gramEnd"/>
      <w:r>
        <w:rPr>
          <w:rFonts w:hint="eastAsia"/>
          <w:lang w:eastAsia="zh-CN"/>
        </w:rPr>
        <w:t>、</w:t>
      </w:r>
      <w:r>
        <w:rPr>
          <w:rFonts w:hint="eastAsia"/>
        </w:rPr>
        <w:t>博美</w:t>
      </w:r>
      <w:r>
        <w:rPr>
          <w:rFonts w:hint="eastAsia"/>
        </w:rPr>
        <w:t>9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r>
        <w:rPr>
          <w:rFonts w:hint="eastAsia"/>
        </w:rPr>
        <w:t>德瑞特</w:t>
      </w:r>
      <w:r>
        <w:rPr>
          <w:rFonts w:hint="eastAsia"/>
        </w:rPr>
        <w:t>10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r>
        <w:rPr>
          <w:rFonts w:hint="eastAsia"/>
        </w:rPr>
        <w:t>中农</w:t>
      </w:r>
      <w:r>
        <w:rPr>
          <w:rFonts w:hint="eastAsia"/>
        </w:rPr>
        <w:t>106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r>
        <w:rPr>
          <w:rFonts w:hint="eastAsia"/>
        </w:rPr>
        <w:t>黑密</w:t>
      </w:r>
      <w:r>
        <w:rPr>
          <w:rFonts w:hint="eastAsia"/>
        </w:rPr>
        <w:t>2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proofErr w:type="gramStart"/>
      <w:r>
        <w:rPr>
          <w:rFonts w:hint="eastAsia"/>
        </w:rPr>
        <w:t>津优</w:t>
      </w:r>
      <w:proofErr w:type="gramEnd"/>
      <w:r>
        <w:rPr>
          <w:rFonts w:hint="eastAsia"/>
        </w:rPr>
        <w:t>509</w:t>
      </w:r>
      <w:proofErr w:type="gramStart"/>
      <w:r>
        <w:rPr>
          <w:rFonts w:hint="eastAsia"/>
          <w:lang w:eastAsia="zh-CN"/>
        </w:rPr>
        <w:t>和</w:t>
      </w:r>
      <w:r>
        <w:rPr>
          <w:rFonts w:hint="eastAsia"/>
        </w:rPr>
        <w:t>津优</w:t>
      </w:r>
      <w:r>
        <w:rPr>
          <w:rFonts w:hint="eastAsia"/>
        </w:rPr>
        <w:t>18</w:t>
      </w:r>
      <w:r>
        <w:rPr>
          <w:rFonts w:hint="eastAsia"/>
        </w:rPr>
        <w:t>号</w:t>
      </w:r>
      <w:proofErr w:type="gramEnd"/>
      <w:r>
        <w:rPr>
          <w:rFonts w:hint="eastAsia"/>
          <w:lang w:eastAsia="zh-CN"/>
        </w:rPr>
        <w:t>等</w:t>
      </w:r>
      <w:r>
        <w:rPr>
          <w:rFonts w:hint="eastAsia"/>
        </w:rPr>
        <w:t>。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hint="eastAsia"/>
        </w:rPr>
        <w:t>华南型黄瓜</w:t>
      </w:r>
      <w:r>
        <w:rPr>
          <w:rFonts w:hint="eastAsia"/>
          <w:lang w:eastAsia="zh-CN"/>
        </w:rPr>
        <w:t>推荐</w:t>
      </w:r>
      <w:r>
        <w:rPr>
          <w:rFonts w:hint="eastAsia"/>
        </w:rPr>
        <w:t>品种：华威奇剑</w:t>
      </w:r>
      <w:r>
        <w:rPr>
          <w:rFonts w:hint="eastAsia"/>
        </w:rPr>
        <w:t>2</w:t>
      </w:r>
      <w:r>
        <w:rPr>
          <w:rFonts w:hint="eastAsia"/>
        </w:rPr>
        <w:t>号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华威</w:t>
      </w:r>
      <w:r>
        <w:rPr>
          <w:rFonts w:hint="eastAsia"/>
        </w:rPr>
        <w:t>20-5</w:t>
      </w:r>
      <w:r>
        <w:rPr>
          <w:rFonts w:hint="eastAsia"/>
          <w:lang w:eastAsia="zh-CN"/>
        </w:rPr>
        <w:t>、</w:t>
      </w:r>
      <w:r>
        <w:rPr>
          <w:rFonts w:hint="eastAsia"/>
        </w:rPr>
        <w:t>未来</w:t>
      </w:r>
      <w:r>
        <w:rPr>
          <w:rFonts w:hint="eastAsia"/>
        </w:rPr>
        <w:t>103</w:t>
      </w:r>
      <w:r>
        <w:rPr>
          <w:rFonts w:hint="eastAsia"/>
          <w:lang w:eastAsia="zh-CN"/>
        </w:rPr>
        <w:t>、</w:t>
      </w:r>
      <w:r>
        <w:rPr>
          <w:rFonts w:hint="eastAsia"/>
        </w:rPr>
        <w:t>未来</w:t>
      </w:r>
      <w:r>
        <w:rPr>
          <w:rFonts w:hint="eastAsia"/>
        </w:rPr>
        <w:t>108</w:t>
      </w:r>
      <w:r>
        <w:rPr>
          <w:rFonts w:hint="eastAsia"/>
          <w:lang w:eastAsia="zh-CN"/>
        </w:rPr>
        <w:t>和</w:t>
      </w:r>
      <w:r>
        <w:rPr>
          <w:rFonts w:hint="eastAsia"/>
        </w:rPr>
        <w:t>华威新剑</w:t>
      </w:r>
      <w:r>
        <w:rPr>
          <w:rFonts w:hint="eastAsia"/>
          <w:lang w:eastAsia="zh-CN"/>
        </w:rPr>
        <w:t>等</w:t>
      </w:r>
      <w:r>
        <w:rPr>
          <w:rFonts w:hint="eastAsia"/>
        </w:rPr>
        <w:t>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5 整地施肥</w:t>
      </w:r>
    </w:p>
    <w:p w:rsidR="0087443C" w:rsidRDefault="00B77DA8" w:rsidP="008D36A7">
      <w:pPr>
        <w:pStyle w:val="a5"/>
        <w:ind w:firstLine="420"/>
      </w:pPr>
      <w:r>
        <w:rPr>
          <w:rFonts w:cs="Times New Roman" w:hint="eastAsia"/>
          <w:lang w:eastAsia="zh-CN"/>
        </w:rPr>
        <w:t>施肥</w:t>
      </w:r>
      <w:r>
        <w:rPr>
          <w:rFonts w:cs="Times New Roman"/>
        </w:rPr>
        <w:t>应符合</w:t>
      </w:r>
      <w:r>
        <w:rPr>
          <w:rFonts w:cs="Times New Roman"/>
        </w:rPr>
        <w:t>NY/T 394</w:t>
      </w:r>
      <w:r>
        <w:rPr>
          <w:rFonts w:cs="Times New Roman"/>
        </w:rPr>
        <w:t>的</w:t>
      </w:r>
      <w:r>
        <w:rPr>
          <w:rFonts w:cs="Times New Roman" w:hint="eastAsia"/>
          <w:lang w:eastAsia="zh-CN"/>
        </w:rPr>
        <w:t>规定。</w:t>
      </w:r>
      <w:r>
        <w:rPr>
          <w:rFonts w:hint="eastAsia"/>
        </w:rPr>
        <w:t>整地深翻时施用基肥，宜采用测土配方施肥，每亩施用充分腐熟农家肥</w:t>
      </w:r>
      <w:r>
        <w:rPr>
          <w:rFonts w:hint="eastAsia"/>
        </w:rPr>
        <w:t>2500 kg</w:t>
      </w:r>
      <w:r>
        <w:rPr>
          <w:rFonts w:hint="eastAsia"/>
        </w:rPr>
        <w:t>～</w:t>
      </w:r>
      <w:r>
        <w:rPr>
          <w:rFonts w:hint="eastAsia"/>
        </w:rPr>
        <w:t>3000 kg</w:t>
      </w:r>
      <w:r>
        <w:rPr>
          <w:rFonts w:hint="eastAsia"/>
          <w:lang w:eastAsia="zh-CN"/>
        </w:rPr>
        <w:t>、</w:t>
      </w:r>
      <w:r>
        <w:rPr>
          <w:rFonts w:hint="eastAsia"/>
        </w:rPr>
        <w:t>磷酸二铵</w:t>
      </w:r>
      <w:r>
        <w:rPr>
          <w:rFonts w:hint="eastAsia"/>
        </w:rPr>
        <w:t>30 kg</w:t>
      </w:r>
      <w:r>
        <w:rPr>
          <w:rFonts w:hint="eastAsia"/>
        </w:rPr>
        <w:t>～</w:t>
      </w:r>
      <w:r>
        <w:rPr>
          <w:rFonts w:hint="eastAsia"/>
        </w:rPr>
        <w:t>50 kg</w:t>
      </w:r>
      <w:r>
        <w:rPr>
          <w:rFonts w:hint="eastAsia"/>
          <w:lang w:eastAsia="zh-CN"/>
        </w:rPr>
        <w:t>、</w:t>
      </w:r>
      <w:r>
        <w:rPr>
          <w:rFonts w:hint="eastAsia"/>
        </w:rPr>
        <w:t>尿素</w:t>
      </w:r>
      <w:r>
        <w:rPr>
          <w:rFonts w:hint="eastAsia"/>
        </w:rPr>
        <w:t>6 kg</w:t>
      </w:r>
      <w:r>
        <w:rPr>
          <w:rFonts w:hint="eastAsia"/>
        </w:rPr>
        <w:t>～</w:t>
      </w:r>
      <w:r>
        <w:rPr>
          <w:rFonts w:hint="eastAsia"/>
        </w:rPr>
        <w:t>10 kg</w:t>
      </w:r>
      <w:r>
        <w:rPr>
          <w:rFonts w:hint="eastAsia"/>
          <w:lang w:eastAsia="zh-CN"/>
        </w:rPr>
        <w:t>、</w:t>
      </w:r>
      <w:r>
        <w:rPr>
          <w:rFonts w:hint="eastAsia"/>
        </w:rPr>
        <w:t>硫酸钾</w:t>
      </w:r>
      <w:r>
        <w:rPr>
          <w:rFonts w:hint="eastAsia"/>
        </w:rPr>
        <w:t>15 kg</w:t>
      </w:r>
      <w:r>
        <w:rPr>
          <w:rFonts w:hint="eastAsia"/>
        </w:rPr>
        <w:t>～</w:t>
      </w:r>
      <w:r>
        <w:rPr>
          <w:rFonts w:hint="eastAsia"/>
        </w:rPr>
        <w:t>25 kg</w:t>
      </w:r>
      <w:r>
        <w:rPr>
          <w:rFonts w:hint="eastAsia"/>
        </w:rPr>
        <w:t>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6 播种</w:t>
      </w:r>
    </w:p>
    <w:p w:rsidR="0087443C" w:rsidRDefault="00B77DA8" w:rsidP="008D36A7">
      <w:pPr>
        <w:pStyle w:val="a5"/>
        <w:ind w:firstLine="420"/>
      </w:pPr>
      <w:r>
        <w:rPr>
          <w:rFonts w:hint="eastAsia"/>
          <w:lang w:eastAsia="zh-CN"/>
        </w:rPr>
        <w:t>东北地区和西北地区露地黄瓜育苗在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月中下旬，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月下旬或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月初定植，直播一般在</w:t>
      </w:r>
      <w:r>
        <w:rPr>
          <w:rFonts w:hint="eastAsia"/>
          <w:lang w:eastAsia="zh-CN"/>
        </w:rPr>
        <w:lastRenderedPageBreak/>
        <w:t>5</w:t>
      </w:r>
      <w:r>
        <w:rPr>
          <w:rFonts w:hint="eastAsia"/>
          <w:lang w:eastAsia="zh-CN"/>
        </w:rPr>
        <w:t>月中下旬或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月初；华北地区露地育苗在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月中下旬，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月下旬定植，露地</w:t>
      </w:r>
      <w:proofErr w:type="gramStart"/>
      <w:r>
        <w:rPr>
          <w:rFonts w:hint="eastAsia"/>
          <w:lang w:eastAsia="zh-CN"/>
        </w:rPr>
        <w:t>秋茬在</w:t>
      </w:r>
      <w:proofErr w:type="gramEnd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月中下旬直播。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7 育苗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7.1 育苗土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cs="Times New Roman"/>
        </w:rPr>
        <w:t>采用蔬菜商业化育苗</w:t>
      </w:r>
      <w:bookmarkStart w:id="3" w:name="_Hlk213769720"/>
      <w:r>
        <w:rPr>
          <w:rFonts w:cs="Times New Roman"/>
        </w:rPr>
        <w:t>基质</w:t>
      </w:r>
      <w:bookmarkEnd w:id="3"/>
      <w:r>
        <w:rPr>
          <w:rFonts w:cs="Times New Roman"/>
        </w:rPr>
        <w:t>，基质选用应符合</w:t>
      </w:r>
      <w:r>
        <w:rPr>
          <w:rFonts w:cs="Times New Roman"/>
        </w:rPr>
        <w:t>NY/T 2118</w:t>
      </w:r>
      <w:r>
        <w:rPr>
          <w:rFonts w:cs="Times New Roman" w:hint="eastAsia"/>
          <w:lang w:eastAsia="zh-CN"/>
        </w:rPr>
        <w:t>的规定</w:t>
      </w:r>
      <w:r>
        <w:rPr>
          <w:rFonts w:ascii="宋体" w:hAnsi="宋体" w:hint="eastAsia"/>
        </w:rPr>
        <w:t>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7.2 种子处理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选用的种子质量应符合</w:t>
      </w:r>
      <w:r>
        <w:rPr>
          <w:rFonts w:hint="eastAsia"/>
          <w:lang w:eastAsia="zh-CN"/>
        </w:rPr>
        <w:t>GB 16715.1</w:t>
      </w:r>
      <w:r>
        <w:rPr>
          <w:rFonts w:hint="eastAsia"/>
          <w:lang w:eastAsia="zh-CN"/>
        </w:rPr>
        <w:t>的规定。一般采用温汤浸种的方式，将干</w:t>
      </w:r>
      <w:proofErr w:type="gramStart"/>
      <w:r>
        <w:rPr>
          <w:rFonts w:hint="eastAsia"/>
          <w:lang w:eastAsia="zh-CN"/>
        </w:rPr>
        <w:t>种投入</w:t>
      </w:r>
      <w:proofErr w:type="gramEnd"/>
      <w:r>
        <w:rPr>
          <w:rFonts w:hint="eastAsia"/>
          <w:lang w:eastAsia="zh-CN"/>
        </w:rPr>
        <w:t xml:space="preserve">55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60 </w:t>
      </w:r>
      <w:r>
        <w:rPr>
          <w:rFonts w:hint="eastAsia"/>
          <w:lang w:eastAsia="zh-CN"/>
        </w:rPr>
        <w:t>℃的温水中，不断搅拌，并不断添加热水，保持</w:t>
      </w:r>
      <w:r>
        <w:rPr>
          <w:rFonts w:hint="eastAsia"/>
          <w:lang w:eastAsia="zh-CN"/>
        </w:rPr>
        <w:t xml:space="preserve">55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60 </w:t>
      </w:r>
      <w:r>
        <w:rPr>
          <w:rFonts w:hint="eastAsia"/>
          <w:lang w:eastAsia="zh-CN"/>
        </w:rPr>
        <w:t>℃的水温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分钟。温度降低到</w:t>
      </w:r>
      <w:r>
        <w:rPr>
          <w:rFonts w:hint="eastAsia"/>
          <w:lang w:eastAsia="zh-CN"/>
        </w:rPr>
        <w:t xml:space="preserve">28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30 </w:t>
      </w:r>
      <w:r>
        <w:rPr>
          <w:rFonts w:hint="eastAsia"/>
          <w:lang w:eastAsia="zh-CN"/>
        </w:rPr>
        <w:t>℃再浸种</w:t>
      </w:r>
      <w:r>
        <w:rPr>
          <w:rFonts w:hint="eastAsia"/>
          <w:lang w:eastAsia="zh-CN"/>
        </w:rPr>
        <w:t>4 h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6 h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包衣种子不需要浸种催芽。种衣剂应选用符合</w:t>
      </w:r>
      <w:r>
        <w:rPr>
          <w:rFonts w:hint="eastAsia"/>
          <w:lang w:eastAsia="zh-CN"/>
        </w:rPr>
        <w:t>NY/T 393</w:t>
      </w:r>
      <w:r>
        <w:rPr>
          <w:rFonts w:hint="eastAsia"/>
          <w:lang w:eastAsia="zh-CN"/>
        </w:rPr>
        <w:t>的规定。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 xml:space="preserve">7.3 </w:t>
      </w:r>
      <w:r>
        <w:rPr>
          <w:szCs w:val="21"/>
        </w:rPr>
        <w:t>育苗播种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选用</w:t>
      </w:r>
      <w:r>
        <w:rPr>
          <w:rFonts w:hint="eastAsia"/>
          <w:lang w:eastAsia="zh-CN"/>
        </w:rPr>
        <w:t>50</w:t>
      </w:r>
      <w:r>
        <w:rPr>
          <w:rFonts w:hint="eastAsia"/>
          <w:lang w:eastAsia="zh-CN"/>
        </w:rPr>
        <w:t>孔穴盘或营养钵（</w:t>
      </w:r>
      <w:r>
        <w:rPr>
          <w:rFonts w:hint="eastAsia"/>
          <w:lang w:eastAsia="zh-CN"/>
        </w:rPr>
        <w:t>8 cm</w:t>
      </w:r>
      <w:r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8 cm</w:t>
      </w:r>
      <w:r>
        <w:rPr>
          <w:rFonts w:hint="eastAsia"/>
          <w:lang w:eastAsia="zh-CN"/>
        </w:rPr>
        <w:t>）装填</w:t>
      </w:r>
      <w:r>
        <w:rPr>
          <w:rFonts w:hint="eastAsia"/>
          <w:lang w:eastAsia="zh-CN"/>
        </w:rPr>
        <w:t>80%</w:t>
      </w:r>
      <w:r>
        <w:rPr>
          <w:rFonts w:hint="eastAsia"/>
          <w:lang w:eastAsia="zh-CN"/>
        </w:rPr>
        <w:t>基质后浇透水，每穴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粒种子，覆基质</w:t>
      </w:r>
      <w:r>
        <w:rPr>
          <w:rFonts w:hint="eastAsia"/>
          <w:lang w:eastAsia="zh-CN"/>
        </w:rPr>
        <w:t>1 cm</w:t>
      </w:r>
      <w:r>
        <w:rPr>
          <w:rFonts w:hint="eastAsia"/>
          <w:lang w:eastAsia="zh-CN"/>
        </w:rPr>
        <w:t>，覆盖地膜保湿。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7.4 苗期管理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7.4.1 温度控制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发芽期温度控制在</w:t>
      </w:r>
      <w:r>
        <w:rPr>
          <w:rFonts w:hint="eastAsia"/>
          <w:lang w:eastAsia="zh-CN"/>
        </w:rPr>
        <w:t xml:space="preserve">25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30 </w:t>
      </w:r>
      <w:r>
        <w:rPr>
          <w:rFonts w:hint="eastAsia"/>
          <w:lang w:eastAsia="zh-CN"/>
        </w:rPr>
        <w:t>℃，</w:t>
      </w:r>
      <w:r>
        <w:rPr>
          <w:rFonts w:hint="eastAsia"/>
          <w:lang w:eastAsia="zh-CN"/>
        </w:rPr>
        <w:t>90%</w:t>
      </w:r>
      <w:r>
        <w:rPr>
          <w:rFonts w:hint="eastAsia"/>
          <w:lang w:eastAsia="zh-CN"/>
        </w:rPr>
        <w:t>以上露白时揭膜。揭膜后温度，白天</w:t>
      </w:r>
      <w:r>
        <w:rPr>
          <w:rFonts w:hint="eastAsia"/>
          <w:lang w:eastAsia="zh-CN"/>
        </w:rPr>
        <w:t xml:space="preserve">20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25 </w:t>
      </w:r>
      <w:r>
        <w:rPr>
          <w:rFonts w:hint="eastAsia"/>
          <w:lang w:eastAsia="zh-CN"/>
        </w:rPr>
        <w:t>℃，夜间</w:t>
      </w:r>
      <w:r>
        <w:rPr>
          <w:rFonts w:hint="eastAsia"/>
          <w:lang w:eastAsia="zh-CN"/>
        </w:rPr>
        <w:t xml:space="preserve">12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 xml:space="preserve">15 </w:t>
      </w:r>
      <w:r>
        <w:rPr>
          <w:rFonts w:hint="eastAsia"/>
          <w:lang w:eastAsia="zh-CN"/>
        </w:rPr>
        <w:t>℃。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7.4.2 光照与通风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每日光照</w:t>
      </w:r>
      <w:r>
        <w:rPr>
          <w:rFonts w:hint="eastAsia"/>
          <w:lang w:eastAsia="zh-CN"/>
        </w:rPr>
        <w:t>8 h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12 h</w:t>
      </w:r>
      <w:r>
        <w:rPr>
          <w:rFonts w:hint="eastAsia"/>
          <w:lang w:eastAsia="zh-CN"/>
        </w:rPr>
        <w:t>，阴天用补光灯补光，光照强度</w:t>
      </w:r>
      <w:r>
        <w:rPr>
          <w:rFonts w:hint="eastAsia"/>
          <w:lang w:eastAsia="zh-CN"/>
        </w:rPr>
        <w:t>5000 lx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8000 lx</w:t>
      </w:r>
      <w:r>
        <w:rPr>
          <w:rFonts w:hint="eastAsia"/>
          <w:lang w:eastAsia="zh-CN"/>
        </w:rPr>
        <w:t>。调节风口大小和时间，保持空气湿度</w:t>
      </w:r>
      <w:r>
        <w:rPr>
          <w:rFonts w:hint="eastAsia"/>
          <w:lang w:eastAsia="zh-CN"/>
        </w:rPr>
        <w:t>60%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70%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7.4.3 水肥管理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保持基质湿润，以含水量</w:t>
      </w:r>
      <w:r>
        <w:rPr>
          <w:rFonts w:hint="eastAsia"/>
          <w:lang w:eastAsia="zh-CN"/>
        </w:rPr>
        <w:t>65%</w:t>
      </w:r>
      <w:r>
        <w:rPr>
          <w:rFonts w:hint="eastAsia"/>
          <w:lang w:eastAsia="zh-CN"/>
        </w:rPr>
        <w:t>为宜，避免积水。苗期视长势适当追肥，</w:t>
      </w:r>
      <w:r>
        <w:rPr>
          <w:rFonts w:cs="Times New Roman"/>
        </w:rPr>
        <w:t>追肥应符合</w:t>
      </w:r>
      <w:r>
        <w:rPr>
          <w:rFonts w:cs="Times New Roman"/>
        </w:rPr>
        <w:t>NY/T 394</w:t>
      </w:r>
      <w:r>
        <w:rPr>
          <w:rFonts w:cs="Times New Roman"/>
        </w:rPr>
        <w:t>的</w:t>
      </w:r>
      <w:r>
        <w:rPr>
          <w:rFonts w:cs="Times New Roman" w:hint="eastAsia"/>
          <w:lang w:eastAsia="zh-CN"/>
        </w:rPr>
        <w:t>规定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 xml:space="preserve">7.5 </w:t>
      </w:r>
      <w:proofErr w:type="gramStart"/>
      <w:r>
        <w:rPr>
          <w:rFonts w:cs="黑体"/>
        </w:rPr>
        <w:t>炼苗与</w:t>
      </w:r>
      <w:proofErr w:type="gramEnd"/>
      <w:r>
        <w:rPr>
          <w:rFonts w:cs="黑体"/>
        </w:rPr>
        <w:t>移栽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7.5.1 炼苗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移栽前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天，逐步减少浇水，白天大通风，夜间温度降至</w:t>
      </w:r>
      <w:r>
        <w:rPr>
          <w:rFonts w:hint="eastAsia"/>
          <w:lang w:eastAsia="zh-CN"/>
        </w:rPr>
        <w:t>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℃～</w:t>
      </w:r>
      <w:r>
        <w:rPr>
          <w:rFonts w:hint="eastAsia"/>
          <w:lang w:eastAsia="zh-CN"/>
        </w:rPr>
        <w:t>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℃。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7.5.2 移栽标准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苗龄</w:t>
      </w:r>
      <w:r>
        <w:rPr>
          <w:rFonts w:hint="eastAsia"/>
          <w:lang w:eastAsia="zh-CN"/>
        </w:rPr>
        <w:t>25 d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35 d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片～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片真叶，株高</w:t>
      </w:r>
      <w:r>
        <w:rPr>
          <w:rFonts w:hint="eastAsia"/>
          <w:lang w:eastAsia="zh-CN"/>
        </w:rPr>
        <w:t>15 cm</w:t>
      </w:r>
      <w:r>
        <w:rPr>
          <w:rFonts w:hint="eastAsia"/>
          <w:lang w:eastAsia="zh-CN"/>
        </w:rPr>
        <w:t>～</w:t>
      </w:r>
      <w:r>
        <w:rPr>
          <w:rFonts w:hint="eastAsia"/>
          <w:lang w:eastAsia="zh-CN"/>
        </w:rPr>
        <w:t>20 cm</w:t>
      </w:r>
      <w:r>
        <w:rPr>
          <w:rFonts w:hint="eastAsia"/>
          <w:lang w:eastAsia="zh-CN"/>
        </w:rPr>
        <w:t>，茎粗</w:t>
      </w:r>
      <w:r>
        <w:rPr>
          <w:rFonts w:hint="eastAsia"/>
          <w:lang w:eastAsia="zh-CN"/>
        </w:rPr>
        <w:t>0.5 cm</w:t>
      </w:r>
      <w:r>
        <w:rPr>
          <w:rFonts w:hint="eastAsia"/>
          <w:lang w:eastAsia="zh-CN"/>
        </w:rPr>
        <w:t>以上。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8 田间管理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8.1 移栽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cs="Times New Roman"/>
        </w:rPr>
        <w:t>当</w:t>
      </w:r>
      <w:r>
        <w:rPr>
          <w:rFonts w:cs="Times New Roman"/>
        </w:rPr>
        <w:t>10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深处地温稳定在</w:t>
      </w:r>
      <w:r>
        <w:rPr>
          <w:rFonts w:cs="Times New Roman"/>
        </w:rPr>
        <w:t>12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℃</w:t>
      </w:r>
      <w:r>
        <w:rPr>
          <w:rFonts w:cs="Times New Roman"/>
        </w:rPr>
        <w:t>以上，最低气温不低于</w:t>
      </w:r>
      <w:r>
        <w:rPr>
          <w:rFonts w:cs="Times New Roman"/>
        </w:rPr>
        <w:t>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℃</w:t>
      </w:r>
      <w:r>
        <w:rPr>
          <w:rFonts w:cs="Times New Roman"/>
        </w:rPr>
        <w:t>，即可定植。定植选择无风的晴天下午或阴天进行。株距</w:t>
      </w:r>
      <w:r>
        <w:rPr>
          <w:rFonts w:cs="Times New Roman"/>
        </w:rPr>
        <w:t>25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～</w:t>
      </w:r>
      <w:r>
        <w:rPr>
          <w:rFonts w:cs="Times New Roman"/>
        </w:rPr>
        <w:t>35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，畦宽</w:t>
      </w:r>
      <w:r>
        <w:rPr>
          <w:rFonts w:cs="Times New Roman"/>
        </w:rPr>
        <w:t>120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～</w:t>
      </w:r>
      <w:r>
        <w:rPr>
          <w:rFonts w:cs="Times New Roman"/>
        </w:rPr>
        <w:t>130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，覆盖地膜保温保湿，每穴定植</w:t>
      </w:r>
      <w:r>
        <w:rPr>
          <w:rFonts w:cs="Times New Roman"/>
        </w:rPr>
        <w:t>1</w:t>
      </w:r>
      <w:r>
        <w:rPr>
          <w:rFonts w:cs="Times New Roman"/>
        </w:rPr>
        <w:t>株，定植后浇透定根水，覆膜栽培的及时封穴。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8.2 直播</w:t>
      </w:r>
    </w:p>
    <w:p w:rsidR="0087443C" w:rsidRDefault="00B77DA8" w:rsidP="008D36A7">
      <w:pPr>
        <w:pStyle w:val="a5"/>
        <w:ind w:firstLine="420"/>
        <w:rPr>
          <w:rFonts w:ascii="宋体" w:hAnsi="宋体"/>
        </w:rPr>
      </w:pPr>
      <w:r>
        <w:rPr>
          <w:rFonts w:cs="Times New Roman"/>
        </w:rPr>
        <w:lastRenderedPageBreak/>
        <w:t>直播</w:t>
      </w:r>
      <w:r>
        <w:rPr>
          <w:rFonts w:cs="Times New Roman" w:hint="eastAsia"/>
          <w:lang w:eastAsia="zh-CN"/>
        </w:rPr>
        <w:t>前</w:t>
      </w:r>
      <w:r>
        <w:rPr>
          <w:rFonts w:cs="Times New Roman"/>
        </w:rPr>
        <w:t>，用温水浸种</w:t>
      </w:r>
      <w:r>
        <w:rPr>
          <w:rFonts w:cs="Times New Roman"/>
        </w:rPr>
        <w:t>3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</w:rPr>
        <w:t>～</w:t>
      </w:r>
      <w:r>
        <w:rPr>
          <w:rFonts w:cs="Times New Roman"/>
        </w:rPr>
        <w:t>4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</w:rPr>
        <w:t>后播种。在预先准备好的播种穴内点播种子，每穴播种</w:t>
      </w:r>
      <w:r>
        <w:rPr>
          <w:rFonts w:cs="Times New Roman"/>
        </w:rPr>
        <w:t>2</w:t>
      </w:r>
      <w:r>
        <w:rPr>
          <w:rFonts w:cs="Times New Roman"/>
        </w:rPr>
        <w:t>粒～</w:t>
      </w:r>
      <w:r>
        <w:rPr>
          <w:rFonts w:cs="Times New Roman"/>
        </w:rPr>
        <w:t>3</w:t>
      </w:r>
      <w:r>
        <w:rPr>
          <w:rFonts w:cs="Times New Roman"/>
        </w:rPr>
        <w:t>粒，穴距</w:t>
      </w:r>
      <w:r>
        <w:rPr>
          <w:rFonts w:cs="Times New Roman"/>
        </w:rPr>
        <w:t>25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～</w:t>
      </w:r>
      <w:r>
        <w:rPr>
          <w:rFonts w:cs="Times New Roman"/>
        </w:rPr>
        <w:t>35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。播种后覆土镇压，而后浇水。高畦栽培可覆盖地膜，畦宽</w:t>
      </w:r>
      <w:r>
        <w:rPr>
          <w:rFonts w:cs="Times New Roman"/>
        </w:rPr>
        <w:t>1.2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</w:rPr>
        <w:t>～</w:t>
      </w:r>
      <w:r>
        <w:rPr>
          <w:rFonts w:cs="Times New Roman"/>
        </w:rPr>
        <w:t>1.3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</w:rPr>
        <w:t>，畦高</w:t>
      </w:r>
      <w:r>
        <w:rPr>
          <w:rFonts w:cs="Times New Roman"/>
        </w:rPr>
        <w:t>12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～</w:t>
      </w:r>
      <w:r>
        <w:rPr>
          <w:rFonts w:cs="Times New Roman"/>
        </w:rPr>
        <w:t>15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cm</w:t>
      </w:r>
      <w:r>
        <w:rPr>
          <w:rFonts w:cs="Times New Roman"/>
        </w:rPr>
        <w:t>。每亩用种量为</w:t>
      </w:r>
      <w:r>
        <w:rPr>
          <w:rFonts w:cs="Times New Roman"/>
        </w:rPr>
        <w:t>200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g</w:t>
      </w:r>
      <w:r>
        <w:rPr>
          <w:rFonts w:cs="Times New Roman"/>
        </w:rPr>
        <w:t>～</w:t>
      </w:r>
      <w:r>
        <w:rPr>
          <w:rFonts w:cs="Times New Roman"/>
        </w:rPr>
        <w:t>250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g</w:t>
      </w:r>
      <w:r>
        <w:rPr>
          <w:rFonts w:ascii="宋体" w:hAnsi="宋体" w:hint="eastAsia"/>
        </w:rPr>
        <w:t>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8.3 插架</w:t>
      </w:r>
    </w:p>
    <w:p w:rsidR="0087443C" w:rsidRDefault="00B77DA8" w:rsidP="008D36A7">
      <w:pPr>
        <w:pStyle w:val="a5"/>
        <w:ind w:firstLine="420"/>
        <w:rPr>
          <w:rFonts w:cs="Times New Roman"/>
        </w:rPr>
      </w:pPr>
      <w:r>
        <w:rPr>
          <w:rFonts w:cs="Times New Roman"/>
        </w:rPr>
        <w:t>当植株长至</w:t>
      </w:r>
      <w:r>
        <w:rPr>
          <w:rFonts w:cs="Times New Roman"/>
        </w:rPr>
        <w:t>5</w:t>
      </w:r>
      <w:r>
        <w:rPr>
          <w:rFonts w:cs="Times New Roman"/>
        </w:rPr>
        <w:t>片～</w:t>
      </w:r>
      <w:r>
        <w:rPr>
          <w:rFonts w:cs="Times New Roman"/>
        </w:rPr>
        <w:t>6</w:t>
      </w:r>
      <w:r>
        <w:rPr>
          <w:rFonts w:cs="Times New Roman"/>
        </w:rPr>
        <w:t>片叶时即可插架，插架可以插人字架或花架。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 xml:space="preserve">8.4 </w:t>
      </w:r>
      <w:proofErr w:type="gramStart"/>
      <w:r>
        <w:rPr>
          <w:rFonts w:cs="黑体"/>
        </w:rPr>
        <w:t>理枝整蔓</w:t>
      </w:r>
      <w:proofErr w:type="gramEnd"/>
    </w:p>
    <w:p w:rsidR="0087443C" w:rsidRDefault="00B77DA8" w:rsidP="008D36A7">
      <w:pPr>
        <w:pStyle w:val="a5"/>
        <w:ind w:firstLine="420"/>
        <w:rPr>
          <w:rFonts w:cs="Times New Roman"/>
        </w:rPr>
      </w:pPr>
      <w:r>
        <w:rPr>
          <w:rFonts w:cs="Times New Roman"/>
        </w:rPr>
        <w:t>植株抽蔓后每生长</w:t>
      </w:r>
      <w:r>
        <w:rPr>
          <w:rFonts w:cs="Times New Roman"/>
        </w:rPr>
        <w:t>30 cm</w:t>
      </w:r>
      <w:r>
        <w:rPr>
          <w:rFonts w:cs="Times New Roman"/>
        </w:rPr>
        <w:t>左右绑蔓一次，单秆整枝，及时摘除侧枝、卷须、老叶、病叶和畸形瓜。</w:t>
      </w:r>
    </w:p>
    <w:p w:rsidR="0087443C" w:rsidRPr="00F13D55" w:rsidRDefault="00B77DA8" w:rsidP="008D36A7">
      <w:pPr>
        <w:pStyle w:val="2"/>
        <w:adjustRightInd w:val="0"/>
        <w:snapToGrid w:val="0"/>
        <w:jc w:val="both"/>
        <w:rPr>
          <w:rFonts w:cs="黑体" w:hint="default"/>
          <w:lang w:val="hu-HU"/>
        </w:rPr>
      </w:pPr>
      <w:r w:rsidRPr="00F13D55">
        <w:rPr>
          <w:rFonts w:cs="黑体"/>
          <w:lang w:val="hu-HU"/>
        </w:rPr>
        <w:t>8.5 灌溉与追肥</w:t>
      </w:r>
    </w:p>
    <w:p w:rsidR="0087443C" w:rsidRPr="00F13D55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  <w:lang w:val="hu-HU"/>
        </w:rPr>
      </w:pPr>
      <w:r w:rsidRPr="00F13D55">
        <w:rPr>
          <w:rFonts w:hAnsi="黑体" w:cs="黑体" w:hint="eastAsia"/>
          <w:lang w:val="hu-HU"/>
        </w:rPr>
        <w:t>8.5.1 灌溉</w:t>
      </w:r>
    </w:p>
    <w:p w:rsidR="0087443C" w:rsidRDefault="00B77DA8" w:rsidP="008D36A7">
      <w:pPr>
        <w:pStyle w:val="a5"/>
        <w:ind w:firstLine="420"/>
        <w:rPr>
          <w:rFonts w:cs="Times New Roman"/>
        </w:rPr>
      </w:pPr>
      <w:r>
        <w:rPr>
          <w:rFonts w:cs="Times New Roman"/>
        </w:rPr>
        <w:t>宜采用膜下滴灌。定植</w:t>
      </w:r>
      <w:r>
        <w:rPr>
          <w:rFonts w:cs="Times New Roman"/>
        </w:rPr>
        <w:t>3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</w:rPr>
        <w:t>～</w:t>
      </w:r>
      <w:r>
        <w:rPr>
          <w:rFonts w:cs="Times New Roman"/>
        </w:rPr>
        <w:t>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</w:rPr>
        <w:t>后浇一次缓苗水，开花结荚前少浇水，结荚后视墒情浇水，盛收以后避免缺水，雨季注意排水排涝。浇水应在晴天上午进行，可结合追肥灌水。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8.5.2 追肥</w:t>
      </w:r>
    </w:p>
    <w:p w:rsidR="0087443C" w:rsidRDefault="00B77DA8" w:rsidP="008D36A7">
      <w:pPr>
        <w:pStyle w:val="a5"/>
        <w:ind w:firstLine="420"/>
        <w:rPr>
          <w:rFonts w:cs="Times New Roman"/>
        </w:rPr>
      </w:pPr>
      <w:r>
        <w:rPr>
          <w:rFonts w:cs="Times New Roman"/>
        </w:rPr>
        <w:t>追肥应符合</w:t>
      </w:r>
      <w:r>
        <w:rPr>
          <w:rFonts w:cs="Times New Roman"/>
        </w:rPr>
        <w:t>NY/T 394</w:t>
      </w:r>
      <w:r>
        <w:rPr>
          <w:rFonts w:cs="Times New Roman"/>
        </w:rPr>
        <w:t>的要求。隔一次水追一次肥，每亩每次施氮磷钾复合肥</w:t>
      </w:r>
      <w:r>
        <w:rPr>
          <w:rFonts w:cs="Times New Roman"/>
        </w:rPr>
        <w:t>3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kg</w:t>
      </w:r>
      <w:r>
        <w:rPr>
          <w:rFonts w:cs="Times New Roman"/>
        </w:rPr>
        <w:t>～</w:t>
      </w:r>
      <w:r>
        <w:rPr>
          <w:rFonts w:cs="Times New Roman"/>
        </w:rPr>
        <w:t>5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kg</w:t>
      </w:r>
      <w:r>
        <w:rPr>
          <w:rFonts w:cs="Times New Roman"/>
        </w:rPr>
        <w:t>，中后期可以喷施磷酸二氢钾叶面肥防止早衰。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</w:rPr>
        <w:t>8.6 授粉</w:t>
      </w:r>
    </w:p>
    <w:p w:rsidR="0087443C" w:rsidRDefault="00B77DA8" w:rsidP="008D36A7">
      <w:pPr>
        <w:pStyle w:val="a5"/>
        <w:ind w:firstLine="420"/>
        <w:rPr>
          <w:rFonts w:cs="Times New Roman"/>
        </w:rPr>
      </w:pPr>
      <w:r>
        <w:rPr>
          <w:rFonts w:cs="Times New Roman"/>
        </w:rPr>
        <w:t>一般露地黄瓜品种单行结瓜能力较强，不需授粉也能结瓜，但配置一定量的授粉品种能提高结瓜率。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9 病虫害防治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9.1 防治</w:t>
      </w:r>
      <w:r>
        <w:rPr>
          <w:rFonts w:cs="黑体"/>
        </w:rPr>
        <w:t>原则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按照“预防为主、综合防治”的植保方针，在做好种子检疫和病虫害田间监测的基础上，针对</w:t>
      </w:r>
      <w:r>
        <w:rPr>
          <w:rFonts w:hint="eastAsia"/>
          <w:lang w:eastAsia="zh-CN"/>
        </w:rPr>
        <w:t>露地黄瓜</w:t>
      </w:r>
      <w:r>
        <w:rPr>
          <w:rFonts w:hint="eastAsia"/>
        </w:rPr>
        <w:t>不同生育期主要病虫害发生特点，</w:t>
      </w:r>
      <w:r>
        <w:rPr>
          <w:rFonts w:ascii="宋体" w:hAnsi="宋体" w:hint="eastAsia"/>
        </w:rPr>
        <w:t>优先采用农业措施</w:t>
      </w:r>
      <w:r>
        <w:rPr>
          <w:rFonts w:hint="eastAsia"/>
        </w:rPr>
        <w:t>、物理防治、生物防治，辅之以科学合理的化学防治的绿色防控技术，实现</w:t>
      </w:r>
      <w:r>
        <w:rPr>
          <w:rFonts w:hint="eastAsia"/>
          <w:lang w:eastAsia="zh-CN"/>
        </w:rPr>
        <w:t>露地黄瓜</w:t>
      </w:r>
      <w:r>
        <w:rPr>
          <w:rFonts w:hint="eastAsia"/>
        </w:rPr>
        <w:t>病虫害绿色防控和优质安全生产。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</w:rPr>
      </w:pPr>
      <w:r>
        <w:rPr>
          <w:rFonts w:cs="黑体"/>
          <w:szCs w:val="21"/>
        </w:rPr>
        <w:t xml:space="preserve">9.2 </w:t>
      </w:r>
      <w:r>
        <w:rPr>
          <w:rFonts w:cs="黑体"/>
        </w:rPr>
        <w:t>常见</w:t>
      </w:r>
      <w:r>
        <w:rPr>
          <w:rFonts w:cs="黑体"/>
          <w:szCs w:val="21"/>
        </w:rPr>
        <w:t>病虫害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9.2.</w:t>
      </w:r>
      <w:r>
        <w:t xml:space="preserve">1 </w:t>
      </w:r>
      <w:r>
        <w:rPr>
          <w:rFonts w:hint="eastAsia"/>
        </w:rPr>
        <w:t>主要病害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</w:rPr>
        <w:t>常见的病害</w:t>
      </w:r>
      <w:r>
        <w:rPr>
          <w:rFonts w:hint="eastAsia"/>
          <w:lang w:eastAsia="zh-CN"/>
        </w:rPr>
        <w:t>：</w:t>
      </w:r>
      <w:r>
        <w:rPr>
          <w:rFonts w:hint="eastAsia"/>
        </w:rPr>
        <w:t>霜霉病、白粉病、细菌性角斑病</w:t>
      </w:r>
      <w:r>
        <w:rPr>
          <w:rFonts w:hint="eastAsia"/>
          <w:lang w:eastAsia="zh-CN"/>
        </w:rPr>
        <w:t>和</w:t>
      </w:r>
      <w:r>
        <w:rPr>
          <w:rFonts w:hint="eastAsia"/>
        </w:rPr>
        <w:t>枯萎病等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9</w:t>
      </w:r>
      <w:r>
        <w:t xml:space="preserve">.2.2 </w:t>
      </w:r>
      <w:r>
        <w:rPr>
          <w:rFonts w:hAnsi="黑体" w:cs="黑体" w:hint="eastAsia"/>
        </w:rPr>
        <w:t>主要</w:t>
      </w:r>
      <w:r>
        <w:rPr>
          <w:rFonts w:hint="eastAsia"/>
        </w:rPr>
        <w:t>虫害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常见的</w:t>
      </w:r>
      <w:r>
        <w:rPr>
          <w:rFonts w:hint="eastAsia"/>
        </w:rPr>
        <w:t>虫害</w:t>
      </w:r>
      <w:r>
        <w:rPr>
          <w:rFonts w:hint="eastAsia"/>
          <w:lang w:eastAsia="zh-CN"/>
        </w:rPr>
        <w:t>：</w:t>
      </w:r>
      <w:r>
        <w:rPr>
          <w:rFonts w:hint="eastAsia"/>
        </w:rPr>
        <w:t>蚜虫、白粉</w:t>
      </w:r>
      <w:proofErr w:type="gramStart"/>
      <w:r>
        <w:rPr>
          <w:rFonts w:hint="eastAsia"/>
        </w:rPr>
        <w:t>虱</w:t>
      </w:r>
      <w:proofErr w:type="gramEnd"/>
      <w:r>
        <w:rPr>
          <w:rFonts w:hint="eastAsia"/>
          <w:lang w:eastAsia="zh-CN"/>
        </w:rPr>
        <w:t>和</w:t>
      </w:r>
      <w:proofErr w:type="gramStart"/>
      <w:r>
        <w:rPr>
          <w:rFonts w:hint="eastAsia"/>
        </w:rPr>
        <w:t>潜叶</w:t>
      </w:r>
      <w:proofErr w:type="gramEnd"/>
      <w:r>
        <w:rPr>
          <w:rFonts w:hint="eastAsia"/>
        </w:rPr>
        <w:t>蝇等</w:t>
      </w:r>
      <w:r>
        <w:rPr>
          <w:rFonts w:hint="eastAsia"/>
          <w:lang w:eastAsia="zh-CN"/>
        </w:rPr>
        <w:t>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</w:pPr>
      <w:r>
        <w:rPr>
          <w:rFonts w:hint="eastAsia"/>
        </w:rPr>
        <w:t>9</w:t>
      </w:r>
      <w:r>
        <w:t xml:space="preserve">.2.3 </w:t>
      </w:r>
      <w:r>
        <w:rPr>
          <w:rFonts w:hint="eastAsia"/>
        </w:rPr>
        <w:t>主要</w:t>
      </w:r>
      <w:r>
        <w:t>草害</w:t>
      </w:r>
    </w:p>
    <w:p w:rsidR="0087443C" w:rsidRDefault="00B77DA8" w:rsidP="008D36A7">
      <w:pPr>
        <w:pStyle w:val="a5"/>
        <w:ind w:firstLine="420"/>
        <w:rPr>
          <w:lang w:eastAsia="zh-CN"/>
        </w:rPr>
      </w:pPr>
      <w:r>
        <w:rPr>
          <w:rFonts w:hint="eastAsia"/>
          <w:lang w:eastAsia="zh-CN"/>
        </w:rPr>
        <w:t>常见的草害：禾本科杂草、阔叶杂草和莎草科杂草类等。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9.3 防治措施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9.3.1</w:t>
      </w:r>
      <w:r>
        <w:rPr>
          <w:rFonts w:hAnsi="黑体" w:cs="黑体"/>
        </w:rPr>
        <w:t xml:space="preserve"> </w:t>
      </w:r>
      <w:r>
        <w:rPr>
          <w:rFonts w:hint="eastAsia"/>
        </w:rPr>
        <w:t>农业</w:t>
      </w:r>
      <w:r>
        <w:rPr>
          <w:rFonts w:hAnsi="黑体" w:cs="黑体" w:hint="eastAsia"/>
        </w:rPr>
        <w:t>防治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选用抗（耐）病虫品种；与非葫芦科作物合理轮作；严格进行种子消毒，培育壮苗；使</w:t>
      </w:r>
      <w:r>
        <w:rPr>
          <w:rFonts w:ascii="Times New Roman" w:hAnsi="Times New Roman" w:cs="Times New Roman" w:hint="eastAsia"/>
          <w:kern w:val="0"/>
          <w:szCs w:val="21"/>
        </w:rPr>
        <w:lastRenderedPageBreak/>
        <w:t>用无害化处理后的有机肥；加强中耕除草，及时清除田间的残枝败叶和杂草，保持田园清洁。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9.3.2</w:t>
      </w:r>
      <w:r>
        <w:rPr>
          <w:rFonts w:hAnsi="黑体" w:cs="黑体"/>
        </w:rPr>
        <w:t xml:space="preserve"> </w:t>
      </w:r>
      <w:r>
        <w:rPr>
          <w:rFonts w:hint="eastAsia"/>
        </w:rPr>
        <w:t>物理防治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黑体" w:eastAsia="黑体" w:hAnsi="黑体" w:cs="黑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温汤浸种；设置防虫网覆盖、铺设银灰色地膜物理阻隔或趋避适用于诱杀鳞翅目害虫；在非天敌释放的地块，悬挂黄色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诱杀斑潜蝇、粉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虱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、蚜虫等成虫，悬挂蓝色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或蓝色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诱虫板</w:t>
      </w:r>
      <w:r>
        <w:rPr>
          <w:rFonts w:ascii="Times New Roman" w:hAnsi="Times New Roman" w:cs="Times New Roman" w:hint="eastAsia"/>
          <w:kern w:val="0"/>
          <w:szCs w:val="21"/>
        </w:rPr>
        <w:t>+</w:t>
      </w:r>
      <w:r>
        <w:rPr>
          <w:rFonts w:ascii="Times New Roman" w:hAnsi="Times New Roman" w:cs="Times New Roman" w:hint="eastAsia"/>
          <w:kern w:val="0"/>
          <w:szCs w:val="21"/>
        </w:rPr>
        <w:t>蓟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马信息素诱杀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蓟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马，每亩悬挂各</w:t>
      </w:r>
      <w:r>
        <w:rPr>
          <w:rFonts w:ascii="Times New Roman" w:hAnsi="Times New Roman" w:cs="Times New Roman" w:hint="eastAsia"/>
          <w:kern w:val="0"/>
          <w:szCs w:val="21"/>
        </w:rPr>
        <w:t>20</w:t>
      </w:r>
      <w:r>
        <w:rPr>
          <w:rFonts w:ascii="Times New Roman" w:hAnsi="Times New Roman" w:cs="Times New Roman" w:hint="eastAsia"/>
          <w:kern w:val="0"/>
          <w:szCs w:val="21"/>
        </w:rPr>
        <w:t>张～</w:t>
      </w:r>
      <w:r>
        <w:rPr>
          <w:rFonts w:ascii="Times New Roman" w:hAnsi="Times New Roman" w:cs="Times New Roman" w:hint="eastAsia"/>
          <w:kern w:val="0"/>
          <w:szCs w:val="21"/>
        </w:rPr>
        <w:t>30</w:t>
      </w:r>
      <w:r>
        <w:rPr>
          <w:rFonts w:ascii="Times New Roman" w:hAnsi="Times New Roman" w:cs="Times New Roman" w:hint="eastAsia"/>
          <w:kern w:val="0"/>
          <w:szCs w:val="21"/>
        </w:rPr>
        <w:t>张，苗期高出植株顶部</w:t>
      </w:r>
      <w:r>
        <w:rPr>
          <w:rFonts w:ascii="Times New Roman" w:hAnsi="Times New Roman" w:cs="Times New Roman" w:hint="eastAsia"/>
          <w:kern w:val="0"/>
          <w:szCs w:val="21"/>
        </w:rPr>
        <w:t>15 cm</w:t>
      </w:r>
      <w:r>
        <w:rPr>
          <w:rFonts w:ascii="Times New Roman" w:hAnsi="Times New Roman" w:cs="Times New Roman" w:hint="eastAsia"/>
          <w:kern w:val="0"/>
          <w:szCs w:val="21"/>
        </w:rPr>
        <w:t>～</w:t>
      </w:r>
      <w:r>
        <w:rPr>
          <w:rFonts w:ascii="Times New Roman" w:hAnsi="Times New Roman" w:cs="Times New Roman" w:hint="eastAsia"/>
          <w:kern w:val="0"/>
          <w:szCs w:val="21"/>
        </w:rPr>
        <w:t>20 cm</w:t>
      </w:r>
      <w:r>
        <w:rPr>
          <w:rFonts w:ascii="Times New Roman" w:hAnsi="Times New Roman" w:cs="Times New Roman" w:hint="eastAsia"/>
          <w:kern w:val="0"/>
          <w:szCs w:val="21"/>
        </w:rPr>
        <w:t>，生长中后期悬挂在植株中上部；使用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频振式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杀虫灯等防治害虫时应符合</w:t>
      </w:r>
      <w:r>
        <w:rPr>
          <w:rFonts w:ascii="Times New Roman" w:hAnsi="Times New Roman" w:cs="Times New Roman" w:hint="eastAsia"/>
          <w:kern w:val="0"/>
          <w:szCs w:val="21"/>
        </w:rPr>
        <w:t>NY/T 3697</w:t>
      </w:r>
      <w:r>
        <w:rPr>
          <w:rFonts w:ascii="Times New Roman" w:hAnsi="Times New Roman" w:cs="Times New Roman" w:hint="eastAsia"/>
          <w:kern w:val="0"/>
          <w:szCs w:val="21"/>
        </w:rPr>
        <w:t>的规定；草害防治宜采用机械旋耕或人工除草方式进行。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9.3.3</w:t>
      </w:r>
      <w:r>
        <w:rPr>
          <w:rFonts w:hAnsi="黑体" w:cs="黑体"/>
        </w:rPr>
        <w:t xml:space="preserve"> </w:t>
      </w:r>
      <w:r>
        <w:rPr>
          <w:rFonts w:hint="eastAsia"/>
        </w:rPr>
        <w:t>生物防治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ascii="Times New Roman" w:hAnsi="Times New Roman" w:cs="Times New Roman" w:hint="eastAsia"/>
          <w:kern w:val="0"/>
          <w:szCs w:val="21"/>
        </w:rPr>
        <w:t>利用天敌、生物农药防治病虫害，如：喷施枯草芽孢杆菌或</w:t>
      </w:r>
      <w:bookmarkStart w:id="4" w:name="OLE_LINK3"/>
      <w:bookmarkStart w:id="5" w:name="OLE_LINK4"/>
      <w:r>
        <w:rPr>
          <w:rFonts w:ascii="Times New Roman" w:hAnsi="Times New Roman" w:cs="Times New Roman" w:hint="eastAsia"/>
          <w:kern w:val="0"/>
          <w:szCs w:val="21"/>
        </w:rPr>
        <w:t>氨基寡糖</w:t>
      </w:r>
      <w:proofErr w:type="gramStart"/>
      <w:r>
        <w:rPr>
          <w:rFonts w:ascii="Times New Roman" w:hAnsi="Times New Roman" w:cs="Times New Roman" w:hint="eastAsia"/>
          <w:kern w:val="0"/>
          <w:szCs w:val="21"/>
        </w:rPr>
        <w:t>素</w:t>
      </w:r>
      <w:bookmarkEnd w:id="4"/>
      <w:bookmarkEnd w:id="5"/>
      <w:r>
        <w:rPr>
          <w:rFonts w:ascii="Times New Roman" w:hAnsi="Times New Roman" w:cs="Times New Roman" w:hint="eastAsia"/>
          <w:kern w:val="0"/>
          <w:szCs w:val="21"/>
        </w:rPr>
        <w:t>增强</w:t>
      </w:r>
      <w:proofErr w:type="gramEnd"/>
      <w:r>
        <w:rPr>
          <w:rFonts w:ascii="Times New Roman" w:hAnsi="Times New Roman" w:cs="Times New Roman" w:hint="eastAsia"/>
          <w:kern w:val="0"/>
          <w:szCs w:val="21"/>
        </w:rPr>
        <w:t>抗性，释放瓢虫、草蛉等天敌或喷施</w:t>
      </w:r>
      <w:bookmarkStart w:id="6" w:name="OLE_LINK5"/>
      <w:bookmarkStart w:id="7" w:name="OLE_LINK6"/>
      <w:r>
        <w:rPr>
          <w:rFonts w:ascii="Times New Roman" w:hAnsi="Times New Roman" w:cs="Times New Roman" w:hint="eastAsia"/>
          <w:kern w:val="0"/>
          <w:szCs w:val="21"/>
        </w:rPr>
        <w:t>苦参碱</w:t>
      </w:r>
      <w:bookmarkEnd w:id="6"/>
      <w:bookmarkEnd w:id="7"/>
      <w:r>
        <w:rPr>
          <w:rFonts w:ascii="Times New Roman" w:hAnsi="Times New Roman" w:cs="Times New Roman" w:hint="eastAsia"/>
          <w:kern w:val="0"/>
          <w:szCs w:val="21"/>
        </w:rPr>
        <w:t>防治蚜虫，用</w:t>
      </w:r>
      <w:bookmarkStart w:id="8" w:name="OLE_LINK9"/>
      <w:bookmarkStart w:id="9" w:name="OLE_LINK10"/>
      <w:r>
        <w:rPr>
          <w:rFonts w:ascii="Times New Roman" w:hAnsi="Times New Roman" w:cs="Times New Roman" w:hint="eastAsia"/>
          <w:kern w:val="0"/>
          <w:szCs w:val="21"/>
        </w:rPr>
        <w:t>嘧啶核苷类抗菌素</w:t>
      </w:r>
      <w:bookmarkEnd w:id="8"/>
      <w:bookmarkEnd w:id="9"/>
      <w:r>
        <w:rPr>
          <w:rFonts w:ascii="Times New Roman" w:hAnsi="Times New Roman" w:cs="Times New Roman" w:hint="eastAsia"/>
          <w:kern w:val="0"/>
          <w:szCs w:val="21"/>
        </w:rPr>
        <w:t>防治白粉病等。</w:t>
      </w:r>
    </w:p>
    <w:p w:rsidR="0087443C" w:rsidRDefault="00B77DA8" w:rsidP="008D36A7">
      <w:pPr>
        <w:pStyle w:val="af4"/>
        <w:adjustRightInd w:val="0"/>
        <w:snapToGrid w:val="0"/>
        <w:spacing w:beforeLines="0" w:afterLines="0" w:line="360" w:lineRule="auto"/>
        <w:ind w:left="0"/>
        <w:rPr>
          <w:rFonts w:hAnsi="黑体" w:cs="黑体"/>
        </w:rPr>
      </w:pPr>
      <w:r>
        <w:rPr>
          <w:rFonts w:hAnsi="黑体" w:cs="黑体" w:hint="eastAsia"/>
        </w:rPr>
        <w:t>9.3.4</w:t>
      </w:r>
      <w:r>
        <w:rPr>
          <w:rFonts w:hAnsi="黑体" w:cs="黑体"/>
        </w:rPr>
        <w:t xml:space="preserve"> </w:t>
      </w:r>
      <w:r>
        <w:rPr>
          <w:rFonts w:hint="eastAsia"/>
        </w:rPr>
        <w:t>化学防治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农药使用严格遵循</w:t>
      </w:r>
      <w:r>
        <w:rPr>
          <w:rFonts w:ascii="Times New Roman" w:hAnsi="Times New Roman" w:cs="Times New Roman"/>
          <w:kern w:val="0"/>
          <w:szCs w:val="21"/>
        </w:rPr>
        <w:t>NY/T 393</w:t>
      </w:r>
      <w:r>
        <w:rPr>
          <w:rFonts w:ascii="Times New Roman" w:hAnsi="Times New Roman" w:cs="Times New Roman"/>
          <w:kern w:val="0"/>
          <w:szCs w:val="21"/>
        </w:rPr>
        <w:t>的规定。加强病虫预测预报，找准防治适期，科学用药防治，提倡使用高效、低毒、低残留</w:t>
      </w:r>
      <w:r>
        <w:rPr>
          <w:rFonts w:ascii="Times New Roman" w:hAnsi="Times New Roman" w:cs="Times New Roman" w:hint="eastAsia"/>
          <w:kern w:val="0"/>
          <w:szCs w:val="21"/>
        </w:rPr>
        <w:t>、环境友好型</w:t>
      </w:r>
      <w:r>
        <w:rPr>
          <w:rFonts w:ascii="Times New Roman" w:hAnsi="Times New Roman" w:cs="Times New Roman"/>
          <w:kern w:val="0"/>
          <w:szCs w:val="21"/>
        </w:rPr>
        <w:t>农药，提倡兼治和不同作用机理农药交替使用，严格执行农药安全间隔期，推广使用新型高效施药器械。</w:t>
      </w:r>
      <w:r>
        <w:rPr>
          <w:rFonts w:ascii="Times New Roman" w:hAnsi="Times New Roman" w:cs="Times New Roman" w:hint="eastAsia"/>
          <w:kern w:val="0"/>
          <w:szCs w:val="21"/>
        </w:rPr>
        <w:t>注意轮换用药，合理混用。绿色食品露地黄瓜生产</w:t>
      </w:r>
      <w:r>
        <w:rPr>
          <w:rFonts w:ascii="Times New Roman" w:hAnsi="Times New Roman" w:cs="Times New Roman"/>
          <w:kern w:val="0"/>
          <w:szCs w:val="21"/>
        </w:rPr>
        <w:t>主要病虫害</w:t>
      </w:r>
      <w:r>
        <w:rPr>
          <w:rFonts w:ascii="Times New Roman" w:hAnsi="Times New Roman" w:cs="Times New Roman" w:hint="eastAsia"/>
          <w:kern w:val="0"/>
          <w:szCs w:val="21"/>
        </w:rPr>
        <w:t>防治推荐农药</w:t>
      </w:r>
      <w:r>
        <w:rPr>
          <w:rFonts w:ascii="Times New Roman" w:hAnsi="Times New Roman" w:cs="Times New Roman"/>
          <w:kern w:val="0"/>
          <w:szCs w:val="21"/>
        </w:rPr>
        <w:t>使用方案见附录</w:t>
      </w:r>
      <w:r>
        <w:rPr>
          <w:rFonts w:ascii="Times New Roman" w:hAnsi="Times New Roman" w:cs="Times New Roman"/>
          <w:kern w:val="0"/>
          <w:szCs w:val="21"/>
        </w:rPr>
        <w:t>A</w:t>
      </w:r>
      <w:r>
        <w:rPr>
          <w:rFonts w:ascii="Times New Roman" w:hAnsi="Times New Roman" w:cs="Times New Roman"/>
          <w:kern w:val="0"/>
          <w:szCs w:val="21"/>
        </w:rPr>
        <w:t>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10 采收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10.1 采收时间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从定植到开始采收，一般早熟品种需</w:t>
      </w:r>
      <w:r>
        <w:rPr>
          <w:rFonts w:hint="eastAsia"/>
        </w:rPr>
        <w:t>18 d</w:t>
      </w:r>
      <w:r>
        <w:rPr>
          <w:rFonts w:hint="eastAsia"/>
        </w:rPr>
        <w:t>～</w:t>
      </w:r>
      <w:r>
        <w:rPr>
          <w:rFonts w:hint="eastAsia"/>
        </w:rPr>
        <w:t>25 d</w:t>
      </w:r>
      <w:r>
        <w:rPr>
          <w:rFonts w:hint="eastAsia"/>
        </w:rPr>
        <w:t>，中晚熟品种需</w:t>
      </w:r>
      <w:r>
        <w:rPr>
          <w:rFonts w:hint="eastAsia"/>
        </w:rPr>
        <w:t>30 d</w:t>
      </w:r>
      <w:r>
        <w:rPr>
          <w:rFonts w:hint="eastAsia"/>
        </w:rPr>
        <w:t>左右。一般根瓜应适当早采，中部瓜条应在符合市场消费要求的前提下适当晚摘，上部所结的瓜条也应业及时采摘。结瓜初期</w:t>
      </w:r>
      <w:r>
        <w:rPr>
          <w:rFonts w:hint="eastAsia"/>
        </w:rPr>
        <w:t>2 d</w:t>
      </w:r>
      <w:r>
        <w:rPr>
          <w:rFonts w:hint="eastAsia"/>
        </w:rPr>
        <w:t>～</w:t>
      </w:r>
      <w:r>
        <w:rPr>
          <w:rFonts w:hint="eastAsia"/>
        </w:rPr>
        <w:t>3 d</w:t>
      </w:r>
      <w:r>
        <w:rPr>
          <w:rFonts w:hint="eastAsia"/>
        </w:rPr>
        <w:t>采</w:t>
      </w:r>
      <w:r>
        <w:rPr>
          <w:rFonts w:hint="eastAsia"/>
          <w:lang w:eastAsia="zh-CN"/>
        </w:rPr>
        <w:t>摘</w:t>
      </w:r>
      <w:r>
        <w:rPr>
          <w:rFonts w:hint="eastAsia"/>
        </w:rPr>
        <w:t>1</w:t>
      </w:r>
      <w:r>
        <w:rPr>
          <w:rFonts w:hint="eastAsia"/>
        </w:rPr>
        <w:t>次，结瓜盛期可以每天采摘。商品瓜易在早晨采收。</w:t>
      </w:r>
    </w:p>
    <w:p w:rsidR="0087443C" w:rsidRDefault="00B77DA8" w:rsidP="008D36A7">
      <w:pPr>
        <w:pStyle w:val="2"/>
        <w:adjustRightInd w:val="0"/>
        <w:snapToGrid w:val="0"/>
        <w:jc w:val="both"/>
        <w:rPr>
          <w:rFonts w:cs="黑体" w:hint="default"/>
          <w:szCs w:val="21"/>
        </w:rPr>
      </w:pPr>
      <w:r>
        <w:rPr>
          <w:rFonts w:cs="黑体"/>
          <w:szCs w:val="21"/>
        </w:rPr>
        <w:t>10.2 采收方法</w:t>
      </w:r>
    </w:p>
    <w:p w:rsidR="0087443C" w:rsidRDefault="00B77DA8" w:rsidP="008D36A7">
      <w:pPr>
        <w:pStyle w:val="a5"/>
        <w:ind w:firstLine="420"/>
      </w:pPr>
      <w:r>
        <w:rPr>
          <w:rFonts w:hint="eastAsia"/>
        </w:rPr>
        <w:t>采收过程中所用工具要清洁、卫生、无污染。及时摘除畸形瓜和大瓜，以免影响商品瓜产量。采收后尽量放在阴凉处。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11 生产废弃物的处理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地膜、农药包装等废弃物不能随意丢弃，将地膜、农药集中起来送交指定回收点统一销毁，秸秆、落叶应该和粪肥一起堆积发酵还田。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12 储藏与</w:t>
      </w:r>
      <w:r>
        <w:t>运输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Times New Roman" w:hAnsi="Times New Roman" w:cs="Times New Roman" w:hint="eastAsia"/>
          <w:kern w:val="0"/>
          <w:szCs w:val="21"/>
        </w:rPr>
        <w:t>采收后放在阴凉干燥通风处暂储，及时销售。宜专用车辆运输，运输前应彻底清扫、清洗车厢。储运过程应符合</w:t>
      </w:r>
      <w:r>
        <w:rPr>
          <w:rFonts w:ascii="Times New Roman" w:hAnsi="Times New Roman" w:cs="Times New Roman" w:hint="eastAsia"/>
          <w:kern w:val="0"/>
          <w:szCs w:val="21"/>
        </w:rPr>
        <w:t>NY/T 1056</w:t>
      </w:r>
      <w:r>
        <w:rPr>
          <w:rFonts w:ascii="Times New Roman" w:hAnsi="Times New Roman" w:cs="Times New Roman" w:hint="eastAsia"/>
          <w:kern w:val="0"/>
          <w:szCs w:val="21"/>
        </w:rPr>
        <w:t>的规定。</w:t>
      </w:r>
    </w:p>
    <w:p w:rsidR="0087443C" w:rsidRDefault="00B77DA8" w:rsidP="008D36A7">
      <w:pPr>
        <w:pStyle w:val="1"/>
        <w:adjustRightInd w:val="0"/>
        <w:snapToGrid w:val="0"/>
      </w:pPr>
      <w:r>
        <w:rPr>
          <w:rFonts w:hint="eastAsia"/>
        </w:rPr>
        <w:t>13 生产档案管理</w:t>
      </w:r>
    </w:p>
    <w:p w:rsidR="0087443C" w:rsidRDefault="00B77DA8" w:rsidP="008D36A7">
      <w:pPr>
        <w:autoSpaceDE w:val="0"/>
        <w:autoSpaceDN w:val="0"/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要</w:t>
      </w:r>
      <w:r>
        <w:t>建立绿色食品</w:t>
      </w:r>
      <w:r>
        <w:rPr>
          <w:rFonts w:hint="eastAsia"/>
        </w:rPr>
        <w:t>露地黄瓜</w:t>
      </w:r>
      <w:r>
        <w:t>生产档案。</w:t>
      </w:r>
      <w:r>
        <w:rPr>
          <w:rFonts w:hint="eastAsia"/>
        </w:rPr>
        <w:t>记录内容包括：地块档案、整地、播种、定植、灌溉、施肥、病虫草害防治、采收、运输</w:t>
      </w:r>
      <w:r w:rsidR="009D536E">
        <w:rPr>
          <w:rFonts w:hint="eastAsia"/>
        </w:rPr>
        <w:t>储</w:t>
      </w:r>
      <w:r>
        <w:rPr>
          <w:rFonts w:hint="eastAsia"/>
        </w:rPr>
        <w:t>藏和销售记录</w:t>
      </w:r>
      <w:r>
        <w:t>等情况</w:t>
      </w:r>
      <w:r>
        <w:rPr>
          <w:rFonts w:hint="eastAsia"/>
        </w:rPr>
        <w:t>，记录保存三年以上。做到农产品生产可追溯。</w:t>
      </w:r>
      <w:r>
        <w:rPr>
          <w:b/>
        </w:rPr>
        <w:br w:type="page"/>
      </w:r>
    </w:p>
    <w:p w:rsidR="0087443C" w:rsidRDefault="00B77DA8">
      <w:pPr>
        <w:pStyle w:val="1"/>
        <w:adjustRightInd w:val="0"/>
        <w:snapToGrid w:val="0"/>
        <w:jc w:val="center"/>
        <w:rPr>
          <w:rFonts w:hAnsi="Times New Roman" w:cs="Times New Roman"/>
          <w:kern w:val="0"/>
        </w:rPr>
      </w:pPr>
      <w:r>
        <w:rPr>
          <w:rFonts w:hAnsi="Times New Roman" w:cs="Times New Roman" w:hint="eastAsia"/>
          <w:kern w:val="0"/>
        </w:rPr>
        <w:lastRenderedPageBreak/>
        <w:t>附录A</w:t>
      </w:r>
    </w:p>
    <w:p w:rsidR="0087443C" w:rsidRDefault="00B77DA8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:rsidR="0087443C" w:rsidRDefault="00B77DA8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北方地区 绿色食品露地黄瓜生产主要病虫害防治推荐农药使用方案</w:t>
      </w:r>
    </w:p>
    <w:p w:rsidR="0087443C" w:rsidRDefault="0087443C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</w:p>
    <w:p w:rsidR="00D24C53" w:rsidRPr="00AF4A06" w:rsidRDefault="00D24C53" w:rsidP="00AF4A06">
      <w:pPr>
        <w:spacing w:line="400" w:lineRule="atLeast"/>
        <w:ind w:firstLineChars="200" w:firstLine="420"/>
        <w:contextualSpacing/>
        <w:jc w:val="left"/>
        <w:rPr>
          <w:rFonts w:ascii="宋体" w:eastAsia="宋体" w:hAnsi="宋体" w:cs="Times New Roman"/>
          <w:kern w:val="0"/>
          <w:szCs w:val="21"/>
        </w:rPr>
      </w:pPr>
      <w:r w:rsidRPr="00AF4A06">
        <w:rPr>
          <w:rFonts w:ascii="宋体" w:eastAsia="宋体" w:hAnsi="宋体" w:cs="Times New Roman" w:hint="eastAsia"/>
          <w:kern w:val="0"/>
          <w:szCs w:val="21"/>
        </w:rPr>
        <w:t>北方地区</w:t>
      </w:r>
      <w:r w:rsidRPr="00AF4A06">
        <w:rPr>
          <w:rFonts w:ascii="宋体" w:eastAsia="宋体" w:hAnsi="宋体" w:cs="Times New Roman"/>
          <w:kern w:val="0"/>
          <w:szCs w:val="21"/>
        </w:rPr>
        <w:t xml:space="preserve"> </w:t>
      </w:r>
      <w:r w:rsidRPr="00AF4A06">
        <w:rPr>
          <w:rFonts w:ascii="宋体" w:eastAsia="宋体" w:hAnsi="宋体" w:cs="Times New Roman" w:hint="eastAsia"/>
          <w:kern w:val="0"/>
          <w:szCs w:val="21"/>
        </w:rPr>
        <w:t>绿色食品露地黄瓜生产主要病虫害防治推荐农药使用方案见表A.1。</w:t>
      </w:r>
    </w:p>
    <w:p w:rsidR="00D24C53" w:rsidRDefault="00D24C53">
      <w:pPr>
        <w:spacing w:line="400" w:lineRule="atLeast"/>
        <w:ind w:firstLineChars="200" w:firstLine="420"/>
        <w:contextualSpacing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表A.1 北方地区 绿色食品露地黄瓜生产主要病虫害防治推荐农药使用方案</w:t>
      </w:r>
    </w:p>
    <w:tbl>
      <w:tblPr>
        <w:tblpPr w:leftFromText="180" w:rightFromText="180" w:vertAnchor="text" w:horzAnchor="page" w:tblpX="1314" w:tblpY="15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30"/>
        <w:gridCol w:w="2410"/>
        <w:gridCol w:w="1701"/>
        <w:gridCol w:w="1163"/>
        <w:gridCol w:w="1134"/>
      </w:tblGrid>
      <w:tr w:rsidR="0087443C" w:rsidTr="008D36A7">
        <w:trPr>
          <w:trHeight w:val="554"/>
        </w:trPr>
        <w:tc>
          <w:tcPr>
            <w:tcW w:w="1276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防治对象</w:t>
            </w:r>
          </w:p>
        </w:tc>
        <w:tc>
          <w:tcPr>
            <w:tcW w:w="1530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防治时期</w:t>
            </w:r>
          </w:p>
        </w:tc>
        <w:tc>
          <w:tcPr>
            <w:tcW w:w="2410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农药名称</w:t>
            </w:r>
          </w:p>
        </w:tc>
        <w:tc>
          <w:tcPr>
            <w:tcW w:w="1701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用药量（亩）</w:t>
            </w:r>
          </w:p>
        </w:tc>
        <w:tc>
          <w:tcPr>
            <w:tcW w:w="1163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施药方法</w:t>
            </w:r>
          </w:p>
        </w:tc>
        <w:tc>
          <w:tcPr>
            <w:tcW w:w="1134" w:type="dxa"/>
            <w:vAlign w:val="center"/>
          </w:tcPr>
          <w:p w:rsidR="0087443C" w:rsidRPr="00D24C53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安全间隔期（</w:t>
            </w: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d</w:t>
            </w:r>
            <w:r w:rsidRPr="00D24C53">
              <w:rPr>
                <w:rFonts w:ascii="Times New Roman" w:hAnsi="Times New Roman" w:cs="Times New Roman"/>
                <w:b/>
                <w:kern w:val="0"/>
                <w:szCs w:val="21"/>
              </w:rPr>
              <w:t>）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Merge w:val="restart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霜霉病</w:t>
            </w:r>
          </w:p>
        </w:tc>
        <w:tc>
          <w:tcPr>
            <w:tcW w:w="1530" w:type="dxa"/>
            <w:vMerge w:val="restart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开花期和结瓜期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772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g/L</w:t>
            </w:r>
            <w:bookmarkStart w:id="10" w:name="OLE_LINK11"/>
            <w:bookmarkStart w:id="11" w:name="OLE_LINK12"/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霜霉威</w:t>
            </w:r>
            <w:bookmarkEnd w:id="10"/>
            <w:bookmarkEnd w:id="11"/>
            <w:proofErr w:type="gramEnd"/>
            <w:r>
              <w:rPr>
                <w:rFonts w:ascii="Times New Roman" w:hAnsi="Times New Roman" w:cs="Times New Roman"/>
                <w:kern w:val="0"/>
                <w:szCs w:val="21"/>
              </w:rPr>
              <w:t>盐酸盐</w:t>
            </w:r>
            <w:r w:rsidR="00994714" w:rsidRPr="00994714">
              <w:rPr>
                <w:rFonts w:ascii="Times New Roman" w:hAnsi="Times New Roman" w:cs="Times New Roman" w:hint="eastAsia"/>
                <w:kern w:val="0"/>
                <w:szCs w:val="21"/>
              </w:rPr>
              <w:t>可溶液剂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100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Merge/>
            <w:vAlign w:val="center"/>
          </w:tcPr>
          <w:p w:rsidR="0087443C" w:rsidRDefault="0087443C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530" w:type="dxa"/>
            <w:vMerge/>
            <w:vAlign w:val="center"/>
          </w:tcPr>
          <w:p w:rsidR="0087443C" w:rsidRDefault="0087443C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80%</w:t>
            </w:r>
            <w:bookmarkStart w:id="12" w:name="OLE_LINK13"/>
            <w:bookmarkStart w:id="13" w:name="OLE_LINK14"/>
            <w:proofErr w:type="gramStart"/>
            <w:r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代森锰锌</w:t>
            </w:r>
            <w:bookmarkEnd w:id="12"/>
            <w:bookmarkEnd w:id="13"/>
            <w:proofErr w:type="gramEnd"/>
            <w:r>
              <w:rPr>
                <w:rFonts w:ascii="Times New Roman" w:hAnsi="Times New Roman" w:cs="Times New Roman"/>
                <w:kern w:val="0"/>
                <w:szCs w:val="21"/>
                <w:lang w:val="zh-CN"/>
              </w:rPr>
              <w:t>可湿性粉</w:t>
            </w:r>
            <w:r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200 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250 g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15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白粉病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结瓜期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10%</w:t>
            </w:r>
            <w:bookmarkStart w:id="14" w:name="OLE_LINK17"/>
            <w:bookmarkStart w:id="15" w:name="OLE_LINK18"/>
            <w:r>
              <w:rPr>
                <w:rFonts w:ascii="Times New Roman" w:hAnsi="Times New Roman" w:cs="Times New Roman"/>
                <w:kern w:val="0"/>
                <w:szCs w:val="21"/>
              </w:rPr>
              <w:t>苯</w:t>
            </w: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醚甲环唑</w:t>
            </w:r>
            <w:bookmarkEnd w:id="14"/>
            <w:bookmarkEnd w:id="15"/>
            <w:proofErr w:type="gramEnd"/>
            <w:r w:rsidR="00BD0580" w:rsidRPr="00BD0580">
              <w:rPr>
                <w:rFonts w:ascii="Times New Roman" w:hAnsi="Times New Roman" w:cs="Times New Roman" w:hint="eastAsia"/>
                <w:kern w:val="0"/>
                <w:szCs w:val="21"/>
              </w:rPr>
              <w:t>水分散粒剂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66.7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88.3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D0580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细菌性角斑病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发病前或初期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33.5%</w:t>
            </w:r>
            <w:bookmarkStart w:id="16" w:name="OLE_LINK19"/>
            <w:bookmarkStart w:id="17" w:name="OLE_LINK20"/>
            <w:r>
              <w:rPr>
                <w:rFonts w:ascii="Times New Roman" w:hAnsi="Times New Roman" w:cs="Times New Roman"/>
                <w:kern w:val="0"/>
                <w:szCs w:val="21"/>
              </w:rPr>
              <w:t>喹啉铜</w:t>
            </w:r>
            <w:bookmarkEnd w:id="16"/>
            <w:bookmarkEnd w:id="17"/>
            <w:r w:rsidR="00BD0580" w:rsidRPr="00BD0580">
              <w:rPr>
                <w:rFonts w:ascii="Times New Roman" w:hAnsi="Times New Roman" w:cs="Times New Roman" w:hint="eastAsia"/>
                <w:kern w:val="0"/>
                <w:szCs w:val="21"/>
              </w:rPr>
              <w:t>悬浮剂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枯萎病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发病前或初期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2%</w:t>
            </w:r>
            <w:bookmarkStart w:id="18" w:name="OLE_LINK21"/>
            <w:bookmarkStart w:id="19" w:name="OLE_LINK22"/>
            <w:r>
              <w:rPr>
                <w:rFonts w:ascii="Times New Roman" w:hAnsi="Times New Roman" w:cs="Times New Roman"/>
                <w:kern w:val="0"/>
                <w:szCs w:val="21"/>
              </w:rPr>
              <w:t>春雷霉素</w:t>
            </w:r>
            <w:bookmarkEnd w:id="18"/>
            <w:bookmarkEnd w:id="19"/>
            <w:r w:rsidR="00BD0580" w:rsidRPr="00BD0580">
              <w:rPr>
                <w:rFonts w:ascii="Times New Roman" w:hAnsi="Times New Roman" w:cs="Times New Roman" w:hint="eastAsia"/>
                <w:kern w:val="0"/>
                <w:szCs w:val="21"/>
              </w:rPr>
              <w:t>可湿性粉剂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700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900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灌根</w:t>
            </w:r>
            <w:proofErr w:type="gramEnd"/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</w:tr>
      <w:tr w:rsidR="0087443C" w:rsidTr="008D36A7">
        <w:trPr>
          <w:trHeight w:val="554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美洲斑潜蝇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发生初期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30%</w:t>
            </w:r>
            <w:bookmarkStart w:id="20" w:name="OLE_LINK23"/>
            <w:bookmarkStart w:id="21" w:name="OLE_LINK24"/>
            <w:r>
              <w:rPr>
                <w:rFonts w:ascii="Times New Roman" w:hAnsi="Times New Roman" w:cs="Times New Roman"/>
                <w:kern w:val="0"/>
                <w:szCs w:val="21"/>
              </w:rPr>
              <w:t>灭蝇</w:t>
            </w: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胺</w:t>
            </w:r>
            <w:bookmarkEnd w:id="20"/>
            <w:bookmarkEnd w:id="21"/>
            <w:proofErr w:type="gramEnd"/>
            <w:r w:rsidR="00420D8E" w:rsidRPr="00420D8E">
              <w:rPr>
                <w:rFonts w:ascii="Times New Roman" w:hAnsi="Times New Roman" w:cs="Times New Roman" w:hint="eastAsia"/>
                <w:kern w:val="0"/>
                <w:szCs w:val="21"/>
              </w:rPr>
              <w:t>悬浮剂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50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L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</w:t>
            </w:r>
          </w:p>
        </w:tc>
      </w:tr>
      <w:tr w:rsidR="0087443C" w:rsidTr="008D36A7">
        <w:trPr>
          <w:trHeight w:val="419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蓟</w:t>
            </w:r>
            <w:proofErr w:type="gramEnd"/>
            <w:r>
              <w:rPr>
                <w:rFonts w:ascii="Times New Roman" w:hAnsi="Times New Roman" w:cs="Times New Roman"/>
                <w:kern w:val="0"/>
                <w:szCs w:val="21"/>
              </w:rPr>
              <w:t>马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发生初期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80%</w:t>
            </w:r>
            <w:bookmarkStart w:id="22" w:name="OLE_LINK25"/>
            <w:bookmarkStart w:id="23" w:name="OLE_LINK26"/>
            <w:r>
              <w:rPr>
                <w:rFonts w:ascii="Times New Roman" w:hAnsi="Times New Roman" w:cs="Times New Roman"/>
                <w:kern w:val="0"/>
                <w:szCs w:val="21"/>
              </w:rPr>
              <w:t>氟</w:t>
            </w: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啶</w:t>
            </w:r>
            <w:proofErr w:type="gramEnd"/>
            <w:r>
              <w:rPr>
                <w:rFonts w:ascii="Times New Roman" w:hAnsi="Times New Roman" w:cs="Times New Roman"/>
                <w:kern w:val="0"/>
                <w:szCs w:val="21"/>
              </w:rPr>
              <w:t>·</w:t>
            </w: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吡蚜酮</w:t>
            </w:r>
            <w:bookmarkEnd w:id="22"/>
            <w:bookmarkEnd w:id="23"/>
            <w:r w:rsidR="00CF40EA" w:rsidRPr="00CF40EA">
              <w:rPr>
                <w:rFonts w:ascii="Times New Roman" w:hAnsi="Times New Roman" w:cs="Times New Roman" w:hint="eastAsia"/>
                <w:kern w:val="0"/>
                <w:szCs w:val="21"/>
              </w:rPr>
              <w:t>水分散</w:t>
            </w:r>
            <w:proofErr w:type="gramEnd"/>
            <w:r w:rsidR="00CF40EA" w:rsidRPr="00CF40EA">
              <w:rPr>
                <w:rFonts w:ascii="Times New Roman" w:hAnsi="Times New Roman" w:cs="Times New Roman" w:hint="eastAsia"/>
                <w:kern w:val="0"/>
                <w:szCs w:val="21"/>
              </w:rPr>
              <w:t>粒剂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</w:tr>
      <w:tr w:rsidR="0087443C" w:rsidTr="008D36A7">
        <w:trPr>
          <w:trHeight w:val="418"/>
        </w:trPr>
        <w:tc>
          <w:tcPr>
            <w:tcW w:w="1276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蚜虫</w:t>
            </w:r>
          </w:p>
        </w:tc>
        <w:tc>
          <w:tcPr>
            <w:tcW w:w="153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发生初期</w:t>
            </w:r>
          </w:p>
        </w:tc>
        <w:tc>
          <w:tcPr>
            <w:tcW w:w="2410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70%</w:t>
            </w:r>
            <w:bookmarkStart w:id="24" w:name="OLE_LINK27"/>
            <w:bookmarkStart w:id="25" w:name="OLE_LINK28"/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啶</w:t>
            </w:r>
            <w:proofErr w:type="gramEnd"/>
            <w:r>
              <w:rPr>
                <w:rFonts w:ascii="Times New Roman" w:hAnsi="Times New Roman" w:cs="Times New Roman"/>
                <w:kern w:val="0"/>
                <w:szCs w:val="21"/>
              </w:rPr>
              <w:t>虫</w:t>
            </w:r>
            <w:proofErr w:type="gramStart"/>
            <w:r>
              <w:rPr>
                <w:rFonts w:ascii="Times New Roman" w:hAnsi="Times New Roman" w:cs="Times New Roman"/>
                <w:kern w:val="0"/>
                <w:szCs w:val="21"/>
              </w:rPr>
              <w:t>脒</w:t>
            </w:r>
            <w:bookmarkEnd w:id="24"/>
            <w:bookmarkEnd w:id="25"/>
            <w:proofErr w:type="gramEnd"/>
            <w:r w:rsidR="00E14ED0" w:rsidRPr="00E14ED0">
              <w:rPr>
                <w:rFonts w:ascii="Times New Roman" w:hAnsi="Times New Roman" w:cs="Times New Roman" w:hint="eastAsia"/>
                <w:kern w:val="0"/>
                <w:szCs w:val="21"/>
              </w:rPr>
              <w:t>水分散粒剂</w:t>
            </w:r>
          </w:p>
        </w:tc>
        <w:tc>
          <w:tcPr>
            <w:tcW w:w="1701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1.2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～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1.5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g</w:t>
            </w:r>
          </w:p>
        </w:tc>
        <w:tc>
          <w:tcPr>
            <w:tcW w:w="1163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喷雾</w:t>
            </w:r>
          </w:p>
        </w:tc>
        <w:tc>
          <w:tcPr>
            <w:tcW w:w="1134" w:type="dxa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</w:tr>
      <w:tr w:rsidR="0087443C" w:rsidTr="008D36A7">
        <w:trPr>
          <w:trHeight w:val="546"/>
        </w:trPr>
        <w:tc>
          <w:tcPr>
            <w:tcW w:w="9214" w:type="dxa"/>
            <w:gridSpan w:val="6"/>
            <w:vAlign w:val="center"/>
          </w:tcPr>
          <w:p w:rsidR="0087443C" w:rsidRDefault="00B77DA8" w:rsidP="008D36A7">
            <w:pPr>
              <w:widowControl/>
              <w:adjustRightInd w:val="0"/>
              <w:snapToGri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注：农药使用应以最新版本NY/T393的规定为准。</w:t>
            </w:r>
          </w:p>
        </w:tc>
      </w:tr>
    </w:tbl>
    <w:p w:rsidR="0087443C" w:rsidRDefault="008D36A7">
      <w:pPr>
        <w:pStyle w:val="a5"/>
        <w:ind w:firstLine="422"/>
        <w:rPr>
          <w:lang w:val="en-US" w:eastAsia="zh-CN"/>
        </w:rPr>
      </w:pPr>
      <w:r>
        <w:rPr>
          <w:b/>
          <w:noProof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35934" wp14:editId="31220246">
                <wp:simplePos x="0" y="0"/>
                <wp:positionH relativeFrom="column">
                  <wp:posOffset>1729243</wp:posOffset>
                </wp:positionH>
                <wp:positionV relativeFrom="paragraph">
                  <wp:posOffset>3824329</wp:posOffset>
                </wp:positionV>
                <wp:extent cx="1800000" cy="8255"/>
                <wp:effectExtent l="0" t="0" r="29210" b="298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039299" id="直接连接符 1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6.15pt,301.15pt" to="277.9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" strokecolor="black [3213]" strokeweight=".5pt">
                <v:stroke joinstyle="miter"/>
              </v:line>
            </w:pict>
          </mc:Fallback>
        </mc:AlternateContent>
      </w:r>
    </w:p>
    <w:sectPr w:rsidR="008744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27B" w:rsidRDefault="0045127B">
      <w:r>
        <w:separator/>
      </w:r>
    </w:p>
  </w:endnote>
  <w:endnote w:type="continuationSeparator" w:id="0">
    <w:p w:rsidR="0045127B" w:rsidRDefault="0045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87443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:rsidR="0087443C" w:rsidRDefault="00B77DA8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FF0" w:rsidRPr="00A00FF0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:rsidR="0087443C" w:rsidRDefault="00B77DA8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A00FF0" w:rsidRPr="00A00FF0">
          <w:rPr>
            <w:rFonts w:asciiTheme="minorEastAsia" w:hAnsiTheme="minorEastAsia"/>
            <w:noProof/>
            <w:szCs w:val="18"/>
            <w:lang w:val="zh-CN"/>
          </w:rPr>
          <w:t>5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27B" w:rsidRDefault="0045127B">
      <w:r>
        <w:separator/>
      </w:r>
    </w:p>
  </w:footnote>
  <w:footnote w:type="continuationSeparator" w:id="0">
    <w:p w:rsidR="0045127B" w:rsidRDefault="00451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43C" w:rsidRDefault="0045127B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3E24"/>
    <w:rsid w:val="00031958"/>
    <w:rsid w:val="00033B5D"/>
    <w:rsid w:val="00035D9D"/>
    <w:rsid w:val="00040EB1"/>
    <w:rsid w:val="00041C7E"/>
    <w:rsid w:val="00043ACC"/>
    <w:rsid w:val="00055E84"/>
    <w:rsid w:val="00067404"/>
    <w:rsid w:val="00077082"/>
    <w:rsid w:val="000A4782"/>
    <w:rsid w:val="000B7C3E"/>
    <w:rsid w:val="000C259C"/>
    <w:rsid w:val="000D19F5"/>
    <w:rsid w:val="000E387D"/>
    <w:rsid w:val="000E69E3"/>
    <w:rsid w:val="000E7F31"/>
    <w:rsid w:val="001033A0"/>
    <w:rsid w:val="0010720B"/>
    <w:rsid w:val="0011110F"/>
    <w:rsid w:val="0011228D"/>
    <w:rsid w:val="001146D9"/>
    <w:rsid w:val="00122B05"/>
    <w:rsid w:val="001241F5"/>
    <w:rsid w:val="001313F5"/>
    <w:rsid w:val="00147137"/>
    <w:rsid w:val="00165F5E"/>
    <w:rsid w:val="001763F9"/>
    <w:rsid w:val="001A29FB"/>
    <w:rsid w:val="001B0CFA"/>
    <w:rsid w:val="001C0225"/>
    <w:rsid w:val="001C552E"/>
    <w:rsid w:val="001D651A"/>
    <w:rsid w:val="001E77B1"/>
    <w:rsid w:val="001F1D7D"/>
    <w:rsid w:val="00204E3E"/>
    <w:rsid w:val="00233A0A"/>
    <w:rsid w:val="00237A85"/>
    <w:rsid w:val="002460B4"/>
    <w:rsid w:val="002569AC"/>
    <w:rsid w:val="00257FBD"/>
    <w:rsid w:val="002602E1"/>
    <w:rsid w:val="00292DB0"/>
    <w:rsid w:val="00296C4D"/>
    <w:rsid w:val="002C638A"/>
    <w:rsid w:val="002D6273"/>
    <w:rsid w:val="002F53F1"/>
    <w:rsid w:val="0030414F"/>
    <w:rsid w:val="00313BD8"/>
    <w:rsid w:val="00323A21"/>
    <w:rsid w:val="00332DE9"/>
    <w:rsid w:val="00341C3F"/>
    <w:rsid w:val="00373546"/>
    <w:rsid w:val="00382CB6"/>
    <w:rsid w:val="00383FD6"/>
    <w:rsid w:val="003A1F91"/>
    <w:rsid w:val="003B5D99"/>
    <w:rsid w:val="003C5B73"/>
    <w:rsid w:val="003D4842"/>
    <w:rsid w:val="003E2190"/>
    <w:rsid w:val="003E47F6"/>
    <w:rsid w:val="003E5943"/>
    <w:rsid w:val="003E70F4"/>
    <w:rsid w:val="003F0154"/>
    <w:rsid w:val="003F1FB3"/>
    <w:rsid w:val="003F3435"/>
    <w:rsid w:val="003F69A0"/>
    <w:rsid w:val="00420D8E"/>
    <w:rsid w:val="00434840"/>
    <w:rsid w:val="004365D2"/>
    <w:rsid w:val="004435BA"/>
    <w:rsid w:val="00444B93"/>
    <w:rsid w:val="00446E4E"/>
    <w:rsid w:val="0045127B"/>
    <w:rsid w:val="00451E5E"/>
    <w:rsid w:val="00474A9C"/>
    <w:rsid w:val="00475DFD"/>
    <w:rsid w:val="004909A4"/>
    <w:rsid w:val="004A0BB9"/>
    <w:rsid w:val="004A4686"/>
    <w:rsid w:val="004B3D6C"/>
    <w:rsid w:val="004B4338"/>
    <w:rsid w:val="004D10CD"/>
    <w:rsid w:val="004D5D13"/>
    <w:rsid w:val="00502C4C"/>
    <w:rsid w:val="00506E72"/>
    <w:rsid w:val="00512A7E"/>
    <w:rsid w:val="005148C7"/>
    <w:rsid w:val="00523875"/>
    <w:rsid w:val="0053240E"/>
    <w:rsid w:val="00557BEF"/>
    <w:rsid w:val="00581EE4"/>
    <w:rsid w:val="005847C8"/>
    <w:rsid w:val="005A6113"/>
    <w:rsid w:val="0061324D"/>
    <w:rsid w:val="00614B22"/>
    <w:rsid w:val="00625259"/>
    <w:rsid w:val="0064097F"/>
    <w:rsid w:val="00646A5D"/>
    <w:rsid w:val="00656141"/>
    <w:rsid w:val="00661024"/>
    <w:rsid w:val="006625E2"/>
    <w:rsid w:val="00662928"/>
    <w:rsid w:val="00687114"/>
    <w:rsid w:val="00695C93"/>
    <w:rsid w:val="006B7118"/>
    <w:rsid w:val="006D16C2"/>
    <w:rsid w:val="006D627E"/>
    <w:rsid w:val="006D6854"/>
    <w:rsid w:val="007055D7"/>
    <w:rsid w:val="00714840"/>
    <w:rsid w:val="00754593"/>
    <w:rsid w:val="007827C9"/>
    <w:rsid w:val="007872C4"/>
    <w:rsid w:val="00787DF2"/>
    <w:rsid w:val="007967A4"/>
    <w:rsid w:val="00796EE0"/>
    <w:rsid w:val="007A76AB"/>
    <w:rsid w:val="007C427E"/>
    <w:rsid w:val="007C5162"/>
    <w:rsid w:val="007C7985"/>
    <w:rsid w:val="007C7D7F"/>
    <w:rsid w:val="007E4E5F"/>
    <w:rsid w:val="007F719B"/>
    <w:rsid w:val="00801B1D"/>
    <w:rsid w:val="00835D76"/>
    <w:rsid w:val="00840D6A"/>
    <w:rsid w:val="008414DD"/>
    <w:rsid w:val="00845391"/>
    <w:rsid w:val="00862811"/>
    <w:rsid w:val="008743E0"/>
    <w:rsid w:val="0087443C"/>
    <w:rsid w:val="008921D7"/>
    <w:rsid w:val="0089591B"/>
    <w:rsid w:val="0089631F"/>
    <w:rsid w:val="008A2EFB"/>
    <w:rsid w:val="008A3273"/>
    <w:rsid w:val="008A4AF7"/>
    <w:rsid w:val="008B707E"/>
    <w:rsid w:val="008B7A8D"/>
    <w:rsid w:val="008C17B2"/>
    <w:rsid w:val="008C2C21"/>
    <w:rsid w:val="008D36A7"/>
    <w:rsid w:val="008D6B29"/>
    <w:rsid w:val="008F2958"/>
    <w:rsid w:val="009220C2"/>
    <w:rsid w:val="0093366A"/>
    <w:rsid w:val="00943515"/>
    <w:rsid w:val="00964294"/>
    <w:rsid w:val="00967369"/>
    <w:rsid w:val="00973CB6"/>
    <w:rsid w:val="009749CF"/>
    <w:rsid w:val="00994714"/>
    <w:rsid w:val="009A0D0C"/>
    <w:rsid w:val="009B43B0"/>
    <w:rsid w:val="009D1D43"/>
    <w:rsid w:val="009D4D92"/>
    <w:rsid w:val="009D536E"/>
    <w:rsid w:val="009D540D"/>
    <w:rsid w:val="009F27C1"/>
    <w:rsid w:val="00A00FF0"/>
    <w:rsid w:val="00A27CE4"/>
    <w:rsid w:val="00A42479"/>
    <w:rsid w:val="00A52AC3"/>
    <w:rsid w:val="00A547F3"/>
    <w:rsid w:val="00A80087"/>
    <w:rsid w:val="00A84920"/>
    <w:rsid w:val="00A91366"/>
    <w:rsid w:val="00A93439"/>
    <w:rsid w:val="00AA2D89"/>
    <w:rsid w:val="00AA2FD7"/>
    <w:rsid w:val="00AB3A9A"/>
    <w:rsid w:val="00AC1453"/>
    <w:rsid w:val="00AE214A"/>
    <w:rsid w:val="00AF4A06"/>
    <w:rsid w:val="00AF7514"/>
    <w:rsid w:val="00B00939"/>
    <w:rsid w:val="00B057D6"/>
    <w:rsid w:val="00B24E39"/>
    <w:rsid w:val="00B5088E"/>
    <w:rsid w:val="00B77DA8"/>
    <w:rsid w:val="00B92F37"/>
    <w:rsid w:val="00B9502F"/>
    <w:rsid w:val="00BB214B"/>
    <w:rsid w:val="00BC1C57"/>
    <w:rsid w:val="00BD0580"/>
    <w:rsid w:val="00BF1250"/>
    <w:rsid w:val="00C00753"/>
    <w:rsid w:val="00C1476E"/>
    <w:rsid w:val="00C30780"/>
    <w:rsid w:val="00C436C2"/>
    <w:rsid w:val="00C7616D"/>
    <w:rsid w:val="00C7706B"/>
    <w:rsid w:val="00C92C28"/>
    <w:rsid w:val="00C96690"/>
    <w:rsid w:val="00CA1924"/>
    <w:rsid w:val="00CB5CC2"/>
    <w:rsid w:val="00CD77CB"/>
    <w:rsid w:val="00CE1997"/>
    <w:rsid w:val="00CF1752"/>
    <w:rsid w:val="00CF40EA"/>
    <w:rsid w:val="00D10710"/>
    <w:rsid w:val="00D11450"/>
    <w:rsid w:val="00D24C53"/>
    <w:rsid w:val="00D41136"/>
    <w:rsid w:val="00D71F58"/>
    <w:rsid w:val="00DB6495"/>
    <w:rsid w:val="00DD7DFD"/>
    <w:rsid w:val="00DF55F5"/>
    <w:rsid w:val="00DF7D88"/>
    <w:rsid w:val="00E038A5"/>
    <w:rsid w:val="00E14ED0"/>
    <w:rsid w:val="00E16D7D"/>
    <w:rsid w:val="00E207AF"/>
    <w:rsid w:val="00E20CF3"/>
    <w:rsid w:val="00E21EFD"/>
    <w:rsid w:val="00E225AD"/>
    <w:rsid w:val="00E22906"/>
    <w:rsid w:val="00E25A4F"/>
    <w:rsid w:val="00E33405"/>
    <w:rsid w:val="00E851BE"/>
    <w:rsid w:val="00E97446"/>
    <w:rsid w:val="00EA1BA7"/>
    <w:rsid w:val="00EA44FD"/>
    <w:rsid w:val="00EB142F"/>
    <w:rsid w:val="00EB68D0"/>
    <w:rsid w:val="00EC2ACA"/>
    <w:rsid w:val="00EF49D2"/>
    <w:rsid w:val="00F05F7A"/>
    <w:rsid w:val="00F13D55"/>
    <w:rsid w:val="00F16B96"/>
    <w:rsid w:val="00F1768C"/>
    <w:rsid w:val="00F21742"/>
    <w:rsid w:val="00F235B5"/>
    <w:rsid w:val="00F81519"/>
    <w:rsid w:val="00F8706B"/>
    <w:rsid w:val="00F921C2"/>
    <w:rsid w:val="00F97898"/>
    <w:rsid w:val="00FB4434"/>
    <w:rsid w:val="00FB5A22"/>
    <w:rsid w:val="00FD6B45"/>
    <w:rsid w:val="00FF069E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23506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1C5D15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CF31A01"/>
    <w:rsid w:val="2D1800CC"/>
    <w:rsid w:val="2D4720A5"/>
    <w:rsid w:val="2D4F3935"/>
    <w:rsid w:val="2D69645C"/>
    <w:rsid w:val="2D81695A"/>
    <w:rsid w:val="2DC01A66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76661D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1D598D"/>
    <w:rsid w:val="60890318"/>
    <w:rsid w:val="60986719"/>
    <w:rsid w:val="609B3E35"/>
    <w:rsid w:val="60A13EF0"/>
    <w:rsid w:val="60B82BB1"/>
    <w:rsid w:val="60E9588E"/>
    <w:rsid w:val="60FD16FF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9B02B9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3201C6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2289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</o:shapelayout>
  </w:shapeDefaults>
  <w:decimalSymbol w:val="."/>
  <w:listSeparator w:val=","/>
  <w15:docId w15:val="{7B31C7FE-03C6-4C65-B45B-BD96B647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pPr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pPr>
      <w:adjustRightInd w:val="0"/>
      <w:snapToGrid w:val="0"/>
      <w:spacing w:before="100" w:beforeAutospacing="1" w:after="100" w:afterAutospacing="1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next w:val="af3"/>
    <w:qFormat/>
    <w:pPr>
      <w:jc w:val="both"/>
      <w:outlineLvl w:val="1"/>
    </w:pPr>
    <w:rPr>
      <w:rFonts w:ascii="黑体" w:eastAsia="黑体"/>
      <w:sz w:val="21"/>
    </w:rPr>
  </w:style>
  <w:style w:type="paragraph" w:customStyle="1" w:styleId="af3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6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2A2E10-94FB-4EAF-8C61-CBFE38E0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632</Words>
  <Characters>3607</Characters>
  <Application>Microsoft Office Word</Application>
  <DocSecurity>0</DocSecurity>
  <Lines>30</Lines>
  <Paragraphs>8</Paragraphs>
  <ScaleCrop>false</ScaleCrop>
  <Company>MicroSoft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10</cp:revision>
  <cp:lastPrinted>2025-11-17T05:59:00Z</cp:lastPrinted>
  <dcterms:created xsi:type="dcterms:W3CDTF">2025-11-11T06:01:00Z</dcterms:created>
  <dcterms:modified xsi:type="dcterms:W3CDTF">2026-04-14T06:00:00Z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93F79959F7D845F8A5E147D3D83E76F5_13</vt:lpwstr>
  </property>
  <property fmtid="{D5CDD505-2E9C-101B-9397-08002B2CF9AE}" pid="4" name="KSOTemplateDocerSaveRecord">
    <vt:lpwstr>eyJoZGlkIjoiNDI2MGNhYWYzZGI2NTY2YThmNDBlNGQ3MTQ3OGU1MmMiLCJ1c2VySWQiOiI1NDI1MTg1NTEifQ==</vt:lpwstr>
  </property>
</Properties>
</file>